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AF3" w:rsidRDefault="00353AF3">
      <w:pPr>
        <w:pStyle w:val="TOCHeading"/>
      </w:pPr>
      <w:r>
        <w:t>Contents</w:t>
      </w:r>
    </w:p>
    <w:p w:rsidR="00D441EA" w:rsidRDefault="00D441EA">
      <w:pPr>
        <w:pStyle w:val="TOCHeading"/>
      </w:pPr>
      <w:bookmarkStart w:id="0" w:name="_Toc342048307"/>
      <w:proofErr w:type="spellStart"/>
      <w:r>
        <w:t>Inhoud</w:t>
      </w:r>
      <w:proofErr w:type="spellEnd"/>
    </w:p>
    <w:p w:rsidR="009F0023" w:rsidRDefault="006D61A3">
      <w:pPr>
        <w:pStyle w:val="TOC1"/>
        <w:tabs>
          <w:tab w:val="right" w:leader="dot" w:pos="9062"/>
        </w:tabs>
        <w:rPr>
          <w:rFonts w:eastAsia="Times New Roman"/>
          <w:noProof/>
          <w:lang w:val="en-US"/>
        </w:rPr>
      </w:pPr>
      <w:r>
        <w:fldChar w:fldCharType="begin"/>
      </w:r>
      <w:r w:rsidR="00D441EA">
        <w:instrText xml:space="preserve"> TOC \o "1-3" \h \z \u </w:instrText>
      </w:r>
      <w:r>
        <w:fldChar w:fldCharType="separate"/>
      </w:r>
      <w:hyperlink w:anchor="_Toc347145353" w:history="1">
        <w:r w:rsidR="009F0023" w:rsidRPr="00AC681A">
          <w:rPr>
            <w:rStyle w:val="Hyperlink"/>
            <w:noProof/>
            <w:lang w:val="en-US"/>
          </w:rPr>
          <w:t>Purpose creep by design: Transforming the face of surveillance through the Internet of Things</w:t>
        </w:r>
        <w:r w:rsidR="009F0023">
          <w:rPr>
            <w:noProof/>
            <w:webHidden/>
          </w:rPr>
          <w:tab/>
        </w:r>
        <w:r>
          <w:rPr>
            <w:noProof/>
            <w:webHidden/>
          </w:rPr>
          <w:fldChar w:fldCharType="begin"/>
        </w:r>
        <w:r w:rsidR="009F0023">
          <w:rPr>
            <w:noProof/>
            <w:webHidden/>
          </w:rPr>
          <w:instrText xml:space="preserve"> PAGEREF _Toc347145353 \h </w:instrText>
        </w:r>
        <w:r>
          <w:rPr>
            <w:noProof/>
            <w:webHidden/>
          </w:rPr>
        </w:r>
        <w:r>
          <w:rPr>
            <w:noProof/>
            <w:webHidden/>
          </w:rPr>
          <w:fldChar w:fldCharType="separate"/>
        </w:r>
        <w:r w:rsidR="009F0023">
          <w:rPr>
            <w:noProof/>
            <w:webHidden/>
          </w:rPr>
          <w:t>2</w:t>
        </w:r>
        <w:r>
          <w:rPr>
            <w:noProof/>
            <w:webHidden/>
          </w:rPr>
          <w:fldChar w:fldCharType="end"/>
        </w:r>
      </w:hyperlink>
    </w:p>
    <w:p w:rsidR="009F0023" w:rsidRDefault="006D61A3">
      <w:pPr>
        <w:pStyle w:val="TOC2"/>
        <w:tabs>
          <w:tab w:val="left" w:pos="660"/>
          <w:tab w:val="right" w:leader="dot" w:pos="9062"/>
        </w:tabs>
        <w:rPr>
          <w:rFonts w:eastAsia="Times New Roman"/>
          <w:noProof/>
          <w:lang w:val="en-US"/>
        </w:rPr>
      </w:pPr>
      <w:hyperlink w:anchor="_Toc347145354" w:history="1">
        <w:r w:rsidR="009F0023" w:rsidRPr="00AC681A">
          <w:rPr>
            <w:rStyle w:val="Hyperlink"/>
            <w:noProof/>
            <w:lang w:val="en-US"/>
          </w:rPr>
          <w:t>1.</w:t>
        </w:r>
        <w:r w:rsidR="009F0023">
          <w:rPr>
            <w:rFonts w:eastAsia="Times New Roman"/>
            <w:noProof/>
            <w:lang w:val="en-US"/>
          </w:rPr>
          <w:tab/>
        </w:r>
        <w:r w:rsidR="009F0023" w:rsidRPr="00AC681A">
          <w:rPr>
            <w:rStyle w:val="Hyperlink"/>
            <w:noProof/>
            <w:lang w:val="en-US"/>
          </w:rPr>
          <w:t>EU Policy on the Internet of Things</w:t>
        </w:r>
        <w:r w:rsidR="009F0023">
          <w:rPr>
            <w:noProof/>
            <w:webHidden/>
          </w:rPr>
          <w:tab/>
        </w:r>
        <w:r>
          <w:rPr>
            <w:noProof/>
            <w:webHidden/>
          </w:rPr>
          <w:fldChar w:fldCharType="begin"/>
        </w:r>
        <w:r w:rsidR="009F0023">
          <w:rPr>
            <w:noProof/>
            <w:webHidden/>
          </w:rPr>
          <w:instrText xml:space="preserve"> PAGEREF _Toc347145354 \h </w:instrText>
        </w:r>
        <w:r>
          <w:rPr>
            <w:noProof/>
            <w:webHidden/>
          </w:rPr>
        </w:r>
        <w:r>
          <w:rPr>
            <w:noProof/>
            <w:webHidden/>
          </w:rPr>
          <w:fldChar w:fldCharType="separate"/>
        </w:r>
        <w:r w:rsidR="009F0023">
          <w:rPr>
            <w:noProof/>
            <w:webHidden/>
          </w:rPr>
          <w:t>3</w:t>
        </w:r>
        <w:r>
          <w:rPr>
            <w:noProof/>
            <w:webHidden/>
          </w:rPr>
          <w:fldChar w:fldCharType="end"/>
        </w:r>
      </w:hyperlink>
    </w:p>
    <w:p w:rsidR="009F0023" w:rsidRDefault="006D61A3">
      <w:pPr>
        <w:pStyle w:val="TOC3"/>
        <w:tabs>
          <w:tab w:val="left" w:pos="1100"/>
          <w:tab w:val="right" w:leader="dot" w:pos="9062"/>
        </w:tabs>
        <w:rPr>
          <w:rFonts w:eastAsia="Times New Roman"/>
          <w:noProof/>
          <w:lang w:val="en-US"/>
        </w:rPr>
      </w:pPr>
      <w:hyperlink w:anchor="_Toc347145355" w:history="1">
        <w:r w:rsidR="009F0023" w:rsidRPr="00AC681A">
          <w:rPr>
            <w:rStyle w:val="Hyperlink"/>
            <w:noProof/>
            <w:lang w:val="en-US"/>
          </w:rPr>
          <w:t>1.1</w:t>
        </w:r>
        <w:r w:rsidR="009F0023">
          <w:rPr>
            <w:rFonts w:eastAsia="Times New Roman"/>
            <w:noProof/>
            <w:lang w:val="en-US"/>
          </w:rPr>
          <w:tab/>
        </w:r>
        <w:r w:rsidR="009F0023" w:rsidRPr="00AC681A">
          <w:rPr>
            <w:rStyle w:val="Hyperlink"/>
            <w:noProof/>
            <w:lang w:val="en-US"/>
          </w:rPr>
          <w:t>Funding the Internet of Things</w:t>
        </w:r>
        <w:r w:rsidR="009F0023">
          <w:rPr>
            <w:noProof/>
            <w:webHidden/>
          </w:rPr>
          <w:tab/>
        </w:r>
        <w:r>
          <w:rPr>
            <w:noProof/>
            <w:webHidden/>
          </w:rPr>
          <w:fldChar w:fldCharType="begin"/>
        </w:r>
        <w:r w:rsidR="009F0023">
          <w:rPr>
            <w:noProof/>
            <w:webHidden/>
          </w:rPr>
          <w:instrText xml:space="preserve"> PAGEREF _Toc347145355 \h </w:instrText>
        </w:r>
        <w:r>
          <w:rPr>
            <w:noProof/>
            <w:webHidden/>
          </w:rPr>
        </w:r>
        <w:r>
          <w:rPr>
            <w:noProof/>
            <w:webHidden/>
          </w:rPr>
          <w:fldChar w:fldCharType="separate"/>
        </w:r>
        <w:r w:rsidR="009F0023">
          <w:rPr>
            <w:noProof/>
            <w:webHidden/>
          </w:rPr>
          <w:t>4</w:t>
        </w:r>
        <w:r>
          <w:rPr>
            <w:noProof/>
            <w:webHidden/>
          </w:rPr>
          <w:fldChar w:fldCharType="end"/>
        </w:r>
      </w:hyperlink>
    </w:p>
    <w:p w:rsidR="009F0023" w:rsidRDefault="006D61A3">
      <w:pPr>
        <w:pStyle w:val="TOC3"/>
        <w:tabs>
          <w:tab w:val="left" w:pos="1100"/>
          <w:tab w:val="right" w:leader="dot" w:pos="9062"/>
        </w:tabs>
        <w:rPr>
          <w:rFonts w:eastAsia="Times New Roman"/>
          <w:noProof/>
          <w:lang w:val="en-US"/>
        </w:rPr>
      </w:pPr>
      <w:hyperlink w:anchor="_Toc347145356" w:history="1">
        <w:r w:rsidR="009F0023" w:rsidRPr="00AC681A">
          <w:rPr>
            <w:rStyle w:val="Hyperlink"/>
            <w:noProof/>
            <w:lang w:val="en-US"/>
          </w:rPr>
          <w:t>1.2</w:t>
        </w:r>
        <w:r w:rsidR="009F0023">
          <w:rPr>
            <w:rFonts w:eastAsia="Times New Roman"/>
            <w:noProof/>
            <w:lang w:val="en-US"/>
          </w:rPr>
          <w:tab/>
        </w:r>
        <w:r w:rsidR="009F0023" w:rsidRPr="00AC681A">
          <w:rPr>
            <w:rStyle w:val="Hyperlink"/>
            <w:noProof/>
            <w:lang w:val="en-US"/>
          </w:rPr>
          <w:t>Direct funding for the IoT</w:t>
        </w:r>
        <w:r w:rsidR="009F0023">
          <w:rPr>
            <w:noProof/>
            <w:webHidden/>
          </w:rPr>
          <w:tab/>
        </w:r>
        <w:r>
          <w:rPr>
            <w:noProof/>
            <w:webHidden/>
          </w:rPr>
          <w:fldChar w:fldCharType="begin"/>
        </w:r>
        <w:r w:rsidR="009F0023">
          <w:rPr>
            <w:noProof/>
            <w:webHidden/>
          </w:rPr>
          <w:instrText xml:space="preserve"> PAGEREF _Toc347145356 \h </w:instrText>
        </w:r>
        <w:r>
          <w:rPr>
            <w:noProof/>
            <w:webHidden/>
          </w:rPr>
        </w:r>
        <w:r>
          <w:rPr>
            <w:noProof/>
            <w:webHidden/>
          </w:rPr>
          <w:fldChar w:fldCharType="separate"/>
        </w:r>
        <w:r w:rsidR="009F0023">
          <w:rPr>
            <w:noProof/>
            <w:webHidden/>
          </w:rPr>
          <w:t>6</w:t>
        </w:r>
        <w:r>
          <w:rPr>
            <w:noProof/>
            <w:webHidden/>
          </w:rPr>
          <w:fldChar w:fldCharType="end"/>
        </w:r>
      </w:hyperlink>
    </w:p>
    <w:p w:rsidR="009F0023" w:rsidRDefault="006D61A3">
      <w:pPr>
        <w:pStyle w:val="TOC3"/>
        <w:tabs>
          <w:tab w:val="left" w:pos="1100"/>
          <w:tab w:val="right" w:leader="dot" w:pos="9062"/>
        </w:tabs>
        <w:rPr>
          <w:rFonts w:eastAsia="Times New Roman"/>
          <w:noProof/>
          <w:lang w:val="en-US"/>
        </w:rPr>
      </w:pPr>
      <w:hyperlink w:anchor="_Toc347145357" w:history="1">
        <w:r w:rsidR="009F0023" w:rsidRPr="00AC681A">
          <w:rPr>
            <w:rStyle w:val="Hyperlink"/>
            <w:noProof/>
            <w:lang w:val="en-US"/>
          </w:rPr>
          <w:t>1.3</w:t>
        </w:r>
        <w:r w:rsidR="009F0023">
          <w:rPr>
            <w:rFonts w:eastAsia="Times New Roman"/>
            <w:noProof/>
            <w:lang w:val="en-US"/>
          </w:rPr>
          <w:tab/>
        </w:r>
        <w:r w:rsidR="009F0023" w:rsidRPr="00AC681A">
          <w:rPr>
            <w:rStyle w:val="Hyperlink"/>
            <w:noProof/>
            <w:lang w:val="en-US"/>
          </w:rPr>
          <w:t>Interlocking security projects</w:t>
        </w:r>
        <w:r w:rsidR="009F0023">
          <w:rPr>
            <w:noProof/>
            <w:webHidden/>
          </w:rPr>
          <w:tab/>
        </w:r>
        <w:r>
          <w:rPr>
            <w:noProof/>
            <w:webHidden/>
          </w:rPr>
          <w:fldChar w:fldCharType="begin"/>
        </w:r>
        <w:r w:rsidR="009F0023">
          <w:rPr>
            <w:noProof/>
            <w:webHidden/>
          </w:rPr>
          <w:instrText xml:space="preserve"> PAGEREF _Toc347145357 \h </w:instrText>
        </w:r>
        <w:r>
          <w:rPr>
            <w:noProof/>
            <w:webHidden/>
          </w:rPr>
        </w:r>
        <w:r>
          <w:rPr>
            <w:noProof/>
            <w:webHidden/>
          </w:rPr>
          <w:fldChar w:fldCharType="separate"/>
        </w:r>
        <w:r w:rsidR="009F0023">
          <w:rPr>
            <w:noProof/>
            <w:webHidden/>
          </w:rPr>
          <w:t>8</w:t>
        </w:r>
        <w:r>
          <w:rPr>
            <w:noProof/>
            <w:webHidden/>
          </w:rPr>
          <w:fldChar w:fldCharType="end"/>
        </w:r>
      </w:hyperlink>
    </w:p>
    <w:p w:rsidR="009F0023" w:rsidRDefault="006D61A3">
      <w:pPr>
        <w:pStyle w:val="TOC2"/>
        <w:tabs>
          <w:tab w:val="left" w:pos="660"/>
          <w:tab w:val="right" w:leader="dot" w:pos="9062"/>
        </w:tabs>
        <w:rPr>
          <w:rFonts w:eastAsia="Times New Roman"/>
          <w:noProof/>
          <w:lang w:val="en-US"/>
        </w:rPr>
      </w:pPr>
      <w:hyperlink w:anchor="_Toc347145358" w:history="1">
        <w:r w:rsidR="009F0023" w:rsidRPr="00AC681A">
          <w:rPr>
            <w:rStyle w:val="Hyperlink"/>
            <w:noProof/>
            <w:lang w:val="en-US"/>
          </w:rPr>
          <w:t>2.</w:t>
        </w:r>
        <w:r w:rsidR="009F0023">
          <w:rPr>
            <w:rFonts w:eastAsia="Times New Roman"/>
            <w:noProof/>
            <w:lang w:val="en-US"/>
          </w:rPr>
          <w:tab/>
        </w:r>
        <w:r w:rsidR="009F0023" w:rsidRPr="00AC681A">
          <w:rPr>
            <w:rStyle w:val="Hyperlink"/>
            <w:noProof/>
            <w:lang w:val="en-US"/>
          </w:rPr>
          <w:t>Transforming the face of surveillance</w:t>
        </w:r>
        <w:r w:rsidR="009F0023">
          <w:rPr>
            <w:noProof/>
            <w:webHidden/>
          </w:rPr>
          <w:tab/>
        </w:r>
        <w:r>
          <w:rPr>
            <w:noProof/>
            <w:webHidden/>
          </w:rPr>
          <w:fldChar w:fldCharType="begin"/>
        </w:r>
        <w:r w:rsidR="009F0023">
          <w:rPr>
            <w:noProof/>
            <w:webHidden/>
          </w:rPr>
          <w:instrText xml:space="preserve"> PAGEREF _Toc347145358 \h </w:instrText>
        </w:r>
        <w:r>
          <w:rPr>
            <w:noProof/>
            <w:webHidden/>
          </w:rPr>
        </w:r>
        <w:r>
          <w:rPr>
            <w:noProof/>
            <w:webHidden/>
          </w:rPr>
          <w:fldChar w:fldCharType="separate"/>
        </w:r>
        <w:r w:rsidR="009F0023">
          <w:rPr>
            <w:noProof/>
            <w:webHidden/>
          </w:rPr>
          <w:t>9</w:t>
        </w:r>
        <w:r>
          <w:rPr>
            <w:noProof/>
            <w:webHidden/>
          </w:rPr>
          <w:fldChar w:fldCharType="end"/>
        </w:r>
      </w:hyperlink>
    </w:p>
    <w:p w:rsidR="009F0023" w:rsidRDefault="006D61A3">
      <w:pPr>
        <w:pStyle w:val="TOC3"/>
        <w:tabs>
          <w:tab w:val="left" w:pos="1100"/>
          <w:tab w:val="right" w:leader="dot" w:pos="9062"/>
        </w:tabs>
        <w:rPr>
          <w:rFonts w:eastAsia="Times New Roman"/>
          <w:noProof/>
          <w:lang w:val="en-US"/>
        </w:rPr>
      </w:pPr>
      <w:hyperlink w:anchor="_Toc347145359" w:history="1">
        <w:r w:rsidR="009F0023" w:rsidRPr="00AC681A">
          <w:rPr>
            <w:rStyle w:val="Hyperlink"/>
            <w:noProof/>
            <w:lang w:val="en-US"/>
          </w:rPr>
          <w:t>2.1</w:t>
        </w:r>
        <w:r w:rsidR="009F0023">
          <w:rPr>
            <w:rFonts w:eastAsia="Times New Roman"/>
            <w:noProof/>
            <w:lang w:val="en-US"/>
          </w:rPr>
          <w:tab/>
        </w:r>
        <w:r w:rsidR="009F0023" w:rsidRPr="00AC681A">
          <w:rPr>
            <w:rStyle w:val="Hyperlink"/>
            <w:noProof/>
            <w:lang w:val="en-US"/>
          </w:rPr>
          <w:t>Privacy in the IoT</w:t>
        </w:r>
        <w:r w:rsidR="009F0023">
          <w:rPr>
            <w:noProof/>
            <w:webHidden/>
          </w:rPr>
          <w:tab/>
        </w:r>
        <w:r>
          <w:rPr>
            <w:noProof/>
            <w:webHidden/>
          </w:rPr>
          <w:fldChar w:fldCharType="begin"/>
        </w:r>
        <w:r w:rsidR="009F0023">
          <w:rPr>
            <w:noProof/>
            <w:webHidden/>
          </w:rPr>
          <w:instrText xml:space="preserve"> PAGEREF _Toc347145359 \h </w:instrText>
        </w:r>
        <w:r>
          <w:rPr>
            <w:noProof/>
            <w:webHidden/>
          </w:rPr>
        </w:r>
        <w:r>
          <w:rPr>
            <w:noProof/>
            <w:webHidden/>
          </w:rPr>
          <w:fldChar w:fldCharType="separate"/>
        </w:r>
        <w:r w:rsidR="009F0023">
          <w:rPr>
            <w:noProof/>
            <w:webHidden/>
          </w:rPr>
          <w:t>10</w:t>
        </w:r>
        <w:r>
          <w:rPr>
            <w:noProof/>
            <w:webHidden/>
          </w:rPr>
          <w:fldChar w:fldCharType="end"/>
        </w:r>
      </w:hyperlink>
    </w:p>
    <w:p w:rsidR="009F0023" w:rsidRDefault="006D61A3">
      <w:pPr>
        <w:pStyle w:val="TOC3"/>
        <w:tabs>
          <w:tab w:val="left" w:pos="1100"/>
          <w:tab w:val="right" w:leader="dot" w:pos="9062"/>
        </w:tabs>
        <w:rPr>
          <w:rFonts w:eastAsia="Times New Roman"/>
          <w:noProof/>
          <w:lang w:val="en-US"/>
        </w:rPr>
      </w:pPr>
      <w:hyperlink w:anchor="_Toc347145360" w:history="1">
        <w:r w:rsidR="009F0023" w:rsidRPr="00AC681A">
          <w:rPr>
            <w:rStyle w:val="Hyperlink"/>
            <w:noProof/>
            <w:lang w:val="en-US"/>
          </w:rPr>
          <w:t>2.2</w:t>
        </w:r>
        <w:r w:rsidR="009F0023">
          <w:rPr>
            <w:rFonts w:eastAsia="Times New Roman"/>
            <w:noProof/>
            <w:lang w:val="en-US"/>
          </w:rPr>
          <w:tab/>
        </w:r>
        <w:r w:rsidR="009F0023" w:rsidRPr="00AC681A">
          <w:rPr>
            <w:rStyle w:val="Hyperlink"/>
            <w:noProof/>
            <w:lang w:val="en-US"/>
          </w:rPr>
          <w:t>Data protection or data dispossession?</w:t>
        </w:r>
        <w:r w:rsidR="009F0023">
          <w:rPr>
            <w:noProof/>
            <w:webHidden/>
          </w:rPr>
          <w:tab/>
        </w:r>
        <w:r>
          <w:rPr>
            <w:noProof/>
            <w:webHidden/>
          </w:rPr>
          <w:fldChar w:fldCharType="begin"/>
        </w:r>
        <w:r w:rsidR="009F0023">
          <w:rPr>
            <w:noProof/>
            <w:webHidden/>
          </w:rPr>
          <w:instrText xml:space="preserve"> PAGEREF _Toc347145360 \h </w:instrText>
        </w:r>
        <w:r>
          <w:rPr>
            <w:noProof/>
            <w:webHidden/>
          </w:rPr>
        </w:r>
        <w:r>
          <w:rPr>
            <w:noProof/>
            <w:webHidden/>
          </w:rPr>
          <w:fldChar w:fldCharType="separate"/>
        </w:r>
        <w:r w:rsidR="009F0023">
          <w:rPr>
            <w:noProof/>
            <w:webHidden/>
          </w:rPr>
          <w:t>11</w:t>
        </w:r>
        <w:r>
          <w:rPr>
            <w:noProof/>
            <w:webHidden/>
          </w:rPr>
          <w:fldChar w:fldCharType="end"/>
        </w:r>
      </w:hyperlink>
    </w:p>
    <w:p w:rsidR="009F0023" w:rsidRDefault="006D61A3">
      <w:pPr>
        <w:pStyle w:val="TOC3"/>
        <w:tabs>
          <w:tab w:val="left" w:pos="1100"/>
          <w:tab w:val="right" w:leader="dot" w:pos="9062"/>
        </w:tabs>
        <w:rPr>
          <w:rFonts w:eastAsia="Times New Roman"/>
          <w:noProof/>
          <w:lang w:val="en-US"/>
        </w:rPr>
      </w:pPr>
      <w:hyperlink w:anchor="_Toc347145361" w:history="1">
        <w:r w:rsidR="009F0023" w:rsidRPr="00AC681A">
          <w:rPr>
            <w:rStyle w:val="Hyperlink"/>
            <w:noProof/>
            <w:lang w:val="en-US"/>
          </w:rPr>
          <w:t>2.3</w:t>
        </w:r>
        <w:r w:rsidR="009F0023">
          <w:rPr>
            <w:rFonts w:eastAsia="Times New Roman"/>
            <w:noProof/>
            <w:lang w:val="en-US"/>
          </w:rPr>
          <w:tab/>
        </w:r>
        <w:r w:rsidR="009F0023" w:rsidRPr="00AC681A">
          <w:rPr>
            <w:rStyle w:val="Hyperlink"/>
            <w:noProof/>
            <w:lang w:val="en-US"/>
          </w:rPr>
          <w:t>Fuelling the surveillance engine</w:t>
        </w:r>
        <w:r w:rsidR="009F0023">
          <w:rPr>
            <w:noProof/>
            <w:webHidden/>
          </w:rPr>
          <w:tab/>
        </w:r>
        <w:r>
          <w:rPr>
            <w:noProof/>
            <w:webHidden/>
          </w:rPr>
          <w:fldChar w:fldCharType="begin"/>
        </w:r>
        <w:r w:rsidR="009F0023">
          <w:rPr>
            <w:noProof/>
            <w:webHidden/>
          </w:rPr>
          <w:instrText xml:space="preserve"> PAGEREF _Toc347145361 \h </w:instrText>
        </w:r>
        <w:r>
          <w:rPr>
            <w:noProof/>
            <w:webHidden/>
          </w:rPr>
        </w:r>
        <w:r>
          <w:rPr>
            <w:noProof/>
            <w:webHidden/>
          </w:rPr>
          <w:fldChar w:fldCharType="separate"/>
        </w:r>
        <w:r w:rsidR="009F0023">
          <w:rPr>
            <w:noProof/>
            <w:webHidden/>
          </w:rPr>
          <w:t>12</w:t>
        </w:r>
        <w:r>
          <w:rPr>
            <w:noProof/>
            <w:webHidden/>
          </w:rPr>
          <w:fldChar w:fldCharType="end"/>
        </w:r>
      </w:hyperlink>
    </w:p>
    <w:p w:rsidR="009F0023" w:rsidRDefault="006D61A3">
      <w:pPr>
        <w:pStyle w:val="TOC2"/>
        <w:tabs>
          <w:tab w:val="left" w:pos="660"/>
          <w:tab w:val="right" w:leader="dot" w:pos="9062"/>
        </w:tabs>
        <w:rPr>
          <w:rFonts w:eastAsia="Times New Roman"/>
          <w:noProof/>
          <w:lang w:val="en-US"/>
        </w:rPr>
      </w:pPr>
      <w:hyperlink w:anchor="_Toc347145362" w:history="1">
        <w:r w:rsidR="009F0023" w:rsidRPr="00AC681A">
          <w:rPr>
            <w:rStyle w:val="Hyperlink"/>
            <w:rFonts w:eastAsia="SimSun"/>
            <w:noProof/>
            <w:lang w:eastAsia="zh-CN"/>
          </w:rPr>
          <w:t>3.</w:t>
        </w:r>
        <w:r w:rsidR="009F0023">
          <w:rPr>
            <w:rFonts w:eastAsia="Times New Roman"/>
            <w:noProof/>
            <w:lang w:val="en-US"/>
          </w:rPr>
          <w:tab/>
        </w:r>
        <w:r w:rsidR="009F0023" w:rsidRPr="00AC681A">
          <w:rPr>
            <w:rStyle w:val="Hyperlink"/>
            <w:rFonts w:eastAsia="SimSun"/>
            <w:noProof/>
            <w:lang w:eastAsia="zh-CN"/>
          </w:rPr>
          <w:t>Concluding remarks</w:t>
        </w:r>
        <w:r w:rsidR="009F0023">
          <w:rPr>
            <w:noProof/>
            <w:webHidden/>
          </w:rPr>
          <w:tab/>
        </w:r>
        <w:r>
          <w:rPr>
            <w:noProof/>
            <w:webHidden/>
          </w:rPr>
          <w:fldChar w:fldCharType="begin"/>
        </w:r>
        <w:r w:rsidR="009F0023">
          <w:rPr>
            <w:noProof/>
            <w:webHidden/>
          </w:rPr>
          <w:instrText xml:space="preserve"> PAGEREF _Toc347145362 \h </w:instrText>
        </w:r>
        <w:r>
          <w:rPr>
            <w:noProof/>
            <w:webHidden/>
          </w:rPr>
        </w:r>
        <w:r>
          <w:rPr>
            <w:noProof/>
            <w:webHidden/>
          </w:rPr>
          <w:fldChar w:fldCharType="separate"/>
        </w:r>
        <w:r w:rsidR="009F0023">
          <w:rPr>
            <w:noProof/>
            <w:webHidden/>
          </w:rPr>
          <w:t>15</w:t>
        </w:r>
        <w:r>
          <w:rPr>
            <w:noProof/>
            <w:webHidden/>
          </w:rPr>
          <w:fldChar w:fldCharType="end"/>
        </w:r>
      </w:hyperlink>
    </w:p>
    <w:p w:rsidR="00A8085E" w:rsidRPr="00010F56" w:rsidRDefault="006D61A3">
      <w:pPr>
        <w:rPr>
          <w:lang w:val="en-US"/>
        </w:rPr>
      </w:pPr>
      <w:r>
        <w:fldChar w:fldCharType="end"/>
      </w:r>
      <w:r w:rsidR="00AF590B">
        <w:rPr>
          <w:lang w:val="en-US"/>
        </w:rPr>
        <w:t>T</w:t>
      </w:r>
      <w:r w:rsidR="00F04C31" w:rsidRPr="00F04C31">
        <w:rPr>
          <w:lang w:val="en-US"/>
        </w:rPr>
        <w:t>.H.A. Wisman</w:t>
      </w:r>
      <w:r w:rsidR="00010F56">
        <w:rPr>
          <w:rStyle w:val="FootnoteReference"/>
          <w:lang w:val="en-US"/>
        </w:rPr>
        <w:footnoteReference w:id="1"/>
      </w:r>
    </w:p>
    <w:p w:rsidR="005147C5" w:rsidRDefault="005147C5" w:rsidP="005147C5">
      <w:pPr>
        <w:pStyle w:val="EndnoteText"/>
        <w:rPr>
          <w:i/>
          <w:sz w:val="22"/>
          <w:szCs w:val="22"/>
        </w:rPr>
      </w:pPr>
      <w:r w:rsidRPr="00B25DC9">
        <w:rPr>
          <w:i/>
          <w:sz w:val="22"/>
          <w:szCs w:val="22"/>
        </w:rPr>
        <w:t>Si</w:t>
      </w:r>
      <w:r>
        <w:rPr>
          <w:i/>
          <w:sz w:val="22"/>
          <w:szCs w:val="22"/>
        </w:rPr>
        <w:t>nce 2006 t</w:t>
      </w:r>
      <w:r w:rsidRPr="00B25DC9">
        <w:rPr>
          <w:i/>
          <w:sz w:val="22"/>
          <w:szCs w:val="22"/>
        </w:rPr>
        <w:t>he</w:t>
      </w:r>
      <w:r>
        <w:rPr>
          <w:i/>
          <w:sz w:val="22"/>
          <w:szCs w:val="22"/>
        </w:rPr>
        <w:t xml:space="preserve"> European Commission expresse</w:t>
      </w:r>
      <w:r w:rsidRPr="00B25DC9">
        <w:rPr>
          <w:i/>
          <w:sz w:val="22"/>
          <w:szCs w:val="22"/>
        </w:rPr>
        <w:t>s</w:t>
      </w:r>
      <w:r>
        <w:rPr>
          <w:i/>
          <w:sz w:val="22"/>
          <w:szCs w:val="22"/>
        </w:rPr>
        <w:t xml:space="preserve"> the ambition </w:t>
      </w:r>
      <w:r w:rsidRPr="00B25DC9">
        <w:rPr>
          <w:i/>
          <w:sz w:val="22"/>
          <w:szCs w:val="22"/>
        </w:rPr>
        <w:t>to transform our current Internet from a network of computers to a network of things and to increasingly merge the physical and the digital world.</w:t>
      </w:r>
      <w:r w:rsidRPr="00B25DC9">
        <w:rPr>
          <w:rStyle w:val="FootnoteReference"/>
          <w:i/>
          <w:sz w:val="22"/>
          <w:szCs w:val="22"/>
        </w:rPr>
        <w:footnoteReference w:id="2"/>
      </w:r>
      <w:r w:rsidRPr="00B25DC9">
        <w:rPr>
          <w:i/>
          <w:sz w:val="22"/>
          <w:szCs w:val="22"/>
        </w:rPr>
        <w:t xml:space="preserve"> </w:t>
      </w:r>
      <w:r>
        <w:rPr>
          <w:i/>
          <w:sz w:val="22"/>
          <w:szCs w:val="22"/>
        </w:rPr>
        <w:t>This n</w:t>
      </w:r>
      <w:r w:rsidR="0000325B">
        <w:rPr>
          <w:i/>
          <w:sz w:val="22"/>
          <w:szCs w:val="22"/>
        </w:rPr>
        <w:t>e</w:t>
      </w:r>
      <w:r>
        <w:rPr>
          <w:i/>
          <w:sz w:val="22"/>
          <w:szCs w:val="22"/>
        </w:rPr>
        <w:t xml:space="preserve">w Internet will be an Internet of Things, a network that autonomously sets flows of data in motion without direct human involvement. </w:t>
      </w:r>
      <w:proofErr w:type="spellStart"/>
      <w:r>
        <w:rPr>
          <w:i/>
          <w:sz w:val="22"/>
          <w:szCs w:val="22"/>
        </w:rPr>
        <w:t>Neelie</w:t>
      </w:r>
      <w:proofErr w:type="spellEnd"/>
      <w:r>
        <w:rPr>
          <w:i/>
          <w:sz w:val="22"/>
          <w:szCs w:val="22"/>
        </w:rPr>
        <w:t xml:space="preserve"> </w:t>
      </w:r>
      <w:proofErr w:type="spellStart"/>
      <w:r>
        <w:rPr>
          <w:i/>
          <w:sz w:val="22"/>
          <w:szCs w:val="22"/>
        </w:rPr>
        <w:t>Kroes</w:t>
      </w:r>
      <w:proofErr w:type="spellEnd"/>
      <w:r>
        <w:rPr>
          <w:i/>
          <w:sz w:val="22"/>
          <w:szCs w:val="22"/>
        </w:rPr>
        <w:t xml:space="preserve"> said that the Internet of Things “is surrounded by a value system: as it comes so close to the heart of everyday life, social relations and daily services, it needs a broad societal consensus to fulfill its potential.”</w:t>
      </w:r>
      <w:r>
        <w:rPr>
          <w:rStyle w:val="FootnoteReference"/>
          <w:i/>
          <w:sz w:val="22"/>
          <w:szCs w:val="22"/>
        </w:rPr>
        <w:footnoteReference w:id="3"/>
      </w:r>
      <w:r>
        <w:rPr>
          <w:i/>
          <w:sz w:val="22"/>
          <w:szCs w:val="22"/>
        </w:rPr>
        <w:t xml:space="preserve">. </w:t>
      </w:r>
      <w:r w:rsidR="00E93BEF">
        <w:rPr>
          <w:i/>
          <w:sz w:val="22"/>
          <w:szCs w:val="22"/>
        </w:rPr>
        <w:t>The processing</w:t>
      </w:r>
      <w:r>
        <w:rPr>
          <w:i/>
          <w:sz w:val="22"/>
          <w:szCs w:val="22"/>
        </w:rPr>
        <w:t xml:space="preserve"> of data </w:t>
      </w:r>
      <w:r w:rsidR="00E93BEF">
        <w:rPr>
          <w:i/>
          <w:sz w:val="22"/>
          <w:szCs w:val="22"/>
        </w:rPr>
        <w:t>regarding</w:t>
      </w:r>
      <w:r>
        <w:rPr>
          <w:i/>
          <w:sz w:val="22"/>
          <w:szCs w:val="22"/>
        </w:rPr>
        <w:t xml:space="preserve"> these highly intimate aspects of citizen</w:t>
      </w:r>
      <w:r w:rsidR="0000325B">
        <w:rPr>
          <w:i/>
          <w:sz w:val="22"/>
          <w:szCs w:val="22"/>
        </w:rPr>
        <w:t>s</w:t>
      </w:r>
      <w:r>
        <w:rPr>
          <w:i/>
          <w:sz w:val="22"/>
          <w:szCs w:val="22"/>
        </w:rPr>
        <w:t xml:space="preserve"> their lives, could have an enormous impact on their privacy. The potential of this </w:t>
      </w:r>
      <w:r w:rsidR="0000325B">
        <w:rPr>
          <w:i/>
          <w:sz w:val="22"/>
          <w:szCs w:val="22"/>
        </w:rPr>
        <w:t>data</w:t>
      </w:r>
      <w:r>
        <w:rPr>
          <w:i/>
          <w:sz w:val="22"/>
          <w:szCs w:val="22"/>
        </w:rPr>
        <w:t xml:space="preserve"> to fuel, through </w:t>
      </w:r>
      <w:r w:rsidR="007C76B5">
        <w:rPr>
          <w:i/>
          <w:sz w:val="22"/>
          <w:szCs w:val="22"/>
        </w:rPr>
        <w:t xml:space="preserve">what I call </w:t>
      </w:r>
      <w:r>
        <w:rPr>
          <w:i/>
          <w:sz w:val="22"/>
          <w:szCs w:val="22"/>
        </w:rPr>
        <w:t xml:space="preserve">purpose creep, a surveillance society is a subject that has a less prominent place in </w:t>
      </w:r>
      <w:r w:rsidR="004D3840">
        <w:rPr>
          <w:i/>
          <w:sz w:val="22"/>
          <w:szCs w:val="22"/>
        </w:rPr>
        <w:t>the mainstream discourse of the European Commission</w:t>
      </w:r>
      <w:r>
        <w:rPr>
          <w:i/>
          <w:sz w:val="22"/>
          <w:szCs w:val="22"/>
        </w:rPr>
        <w:t>.</w:t>
      </w:r>
      <w:r w:rsidR="00A8000E">
        <w:rPr>
          <w:i/>
          <w:sz w:val="22"/>
          <w:szCs w:val="22"/>
        </w:rPr>
        <w:t xml:space="preserve"> </w:t>
      </w:r>
    </w:p>
    <w:p w:rsidR="005147C5" w:rsidRDefault="005147C5" w:rsidP="005147C5">
      <w:pPr>
        <w:pStyle w:val="EndnoteText"/>
        <w:rPr>
          <w:i/>
          <w:sz w:val="22"/>
          <w:szCs w:val="22"/>
        </w:rPr>
      </w:pPr>
    </w:p>
    <w:p w:rsidR="005147C5" w:rsidRPr="007E64FF" w:rsidRDefault="005147C5" w:rsidP="005147C5">
      <w:pPr>
        <w:pStyle w:val="Heading1"/>
        <w:rPr>
          <w:lang w:val="en-US"/>
        </w:rPr>
      </w:pPr>
      <w:bookmarkStart w:id="1" w:name="_Toc346967723"/>
      <w:bookmarkStart w:id="2" w:name="_Toc347068598"/>
      <w:bookmarkStart w:id="3" w:name="_Toc347145353"/>
      <w:bookmarkEnd w:id="0"/>
      <w:r>
        <w:rPr>
          <w:lang w:val="en-US"/>
        </w:rPr>
        <w:t>Purpose</w:t>
      </w:r>
      <w:r w:rsidRPr="0048594A">
        <w:rPr>
          <w:lang w:val="en-US"/>
        </w:rPr>
        <w:t xml:space="preserve"> creep by design: </w:t>
      </w:r>
      <w:r>
        <w:rPr>
          <w:lang w:val="en-US"/>
        </w:rPr>
        <w:t>Transforming the face of surveillance through the Internet of Things</w:t>
      </w:r>
      <w:bookmarkEnd w:id="1"/>
      <w:bookmarkEnd w:id="2"/>
      <w:bookmarkEnd w:id="3"/>
    </w:p>
    <w:p w:rsidR="001F6DCF" w:rsidRDefault="001F6DCF" w:rsidP="005147C5">
      <w:pPr>
        <w:pStyle w:val="EndnoteText"/>
        <w:rPr>
          <w:sz w:val="22"/>
          <w:szCs w:val="22"/>
        </w:rPr>
      </w:pPr>
    </w:p>
    <w:p w:rsidR="00AF590B" w:rsidRDefault="001F6DCF">
      <w:pPr>
        <w:pStyle w:val="Heading2"/>
        <w:numPr>
          <w:ilvl w:val="0"/>
          <w:numId w:val="12"/>
        </w:numPr>
      </w:pPr>
      <w:proofErr w:type="spellStart"/>
      <w:r>
        <w:lastRenderedPageBreak/>
        <w:t>Introduction</w:t>
      </w:r>
      <w:proofErr w:type="spellEnd"/>
    </w:p>
    <w:p w:rsidR="007F718F" w:rsidRDefault="005147C5" w:rsidP="005147C5">
      <w:pPr>
        <w:pStyle w:val="EndnoteText"/>
        <w:rPr>
          <w:sz w:val="22"/>
          <w:szCs w:val="22"/>
        </w:rPr>
      </w:pPr>
      <w:r w:rsidRPr="0094205B">
        <w:rPr>
          <w:sz w:val="22"/>
          <w:szCs w:val="22"/>
        </w:rPr>
        <w:t xml:space="preserve">As the economy of </w:t>
      </w:r>
      <w:smartTag w:uri="urn:schemas-microsoft-com:office:smarttags" w:element="place">
        <w:r w:rsidRPr="0094205B">
          <w:rPr>
            <w:sz w:val="22"/>
            <w:szCs w:val="22"/>
          </w:rPr>
          <w:t>Europe</w:t>
        </w:r>
      </w:smartTag>
      <w:r w:rsidRPr="0094205B">
        <w:rPr>
          <w:sz w:val="22"/>
          <w:szCs w:val="22"/>
        </w:rPr>
        <w:t xml:space="preserve"> is crumbling, politicians are desperate to grab on to </w:t>
      </w:r>
      <w:r>
        <w:rPr>
          <w:sz w:val="22"/>
          <w:szCs w:val="22"/>
        </w:rPr>
        <w:t>any</w:t>
      </w:r>
      <w:r w:rsidRPr="0094205B">
        <w:rPr>
          <w:sz w:val="22"/>
          <w:szCs w:val="22"/>
        </w:rPr>
        <w:t>thing that might save society</w:t>
      </w:r>
      <w:r>
        <w:rPr>
          <w:sz w:val="22"/>
          <w:szCs w:val="22"/>
        </w:rPr>
        <w:t>.</w:t>
      </w:r>
      <w:r w:rsidRPr="0094205B">
        <w:rPr>
          <w:sz w:val="22"/>
          <w:szCs w:val="22"/>
        </w:rPr>
        <w:t xml:space="preserve"> </w:t>
      </w:r>
      <w:r>
        <w:rPr>
          <w:sz w:val="22"/>
          <w:szCs w:val="22"/>
        </w:rPr>
        <w:t>C</w:t>
      </w:r>
      <w:r w:rsidRPr="0094205B">
        <w:rPr>
          <w:sz w:val="22"/>
          <w:szCs w:val="22"/>
        </w:rPr>
        <w:t>ompanies are more than willing to provide a panac</w:t>
      </w:r>
      <w:r>
        <w:rPr>
          <w:sz w:val="22"/>
          <w:szCs w:val="22"/>
        </w:rPr>
        <w:t>e</w:t>
      </w:r>
      <w:r w:rsidRPr="0094205B">
        <w:rPr>
          <w:sz w:val="22"/>
          <w:szCs w:val="22"/>
        </w:rPr>
        <w:t>a for all the problems t</w:t>
      </w:r>
      <w:r>
        <w:rPr>
          <w:sz w:val="22"/>
          <w:szCs w:val="22"/>
        </w:rPr>
        <w:t>hat are perceived, a vision</w:t>
      </w:r>
      <w:r w:rsidRPr="0094205B">
        <w:rPr>
          <w:sz w:val="22"/>
          <w:szCs w:val="22"/>
        </w:rPr>
        <w:t xml:space="preserve"> to be trusted and to be in</w:t>
      </w:r>
      <w:r>
        <w:rPr>
          <w:sz w:val="22"/>
          <w:szCs w:val="22"/>
        </w:rPr>
        <w:t>vested in. Society should be saf</w:t>
      </w:r>
      <w:r w:rsidRPr="0094205B">
        <w:rPr>
          <w:sz w:val="22"/>
          <w:szCs w:val="22"/>
        </w:rPr>
        <w:t xml:space="preserve">er, cleaner, more comfortable, more </w:t>
      </w:r>
      <w:r>
        <w:rPr>
          <w:sz w:val="22"/>
          <w:szCs w:val="22"/>
        </w:rPr>
        <w:t>efficient and more secure! To realize efficiency in society, up-to-date information about the processes that are vital to it is indispensable. The more detailed this information is and the more parties have access to it, the more accurate decisions can be taken. S</w:t>
      </w:r>
      <w:r w:rsidRPr="0094205B">
        <w:rPr>
          <w:sz w:val="22"/>
          <w:szCs w:val="22"/>
        </w:rPr>
        <w:t xml:space="preserve">o what would be more attractive than a society that provides </w:t>
      </w:r>
      <w:r>
        <w:rPr>
          <w:sz w:val="22"/>
          <w:szCs w:val="22"/>
        </w:rPr>
        <w:t>ways to realize these wishes,</w:t>
      </w:r>
      <w:r w:rsidRPr="0094205B">
        <w:rPr>
          <w:sz w:val="22"/>
          <w:szCs w:val="22"/>
        </w:rPr>
        <w:t xml:space="preserve"> and through </w:t>
      </w:r>
      <w:r>
        <w:rPr>
          <w:sz w:val="22"/>
          <w:szCs w:val="22"/>
        </w:rPr>
        <w:t>their</w:t>
      </w:r>
      <w:r w:rsidRPr="0094205B">
        <w:rPr>
          <w:sz w:val="22"/>
          <w:szCs w:val="22"/>
        </w:rPr>
        <w:t xml:space="preserve"> realization </w:t>
      </w:r>
      <w:r>
        <w:rPr>
          <w:sz w:val="22"/>
          <w:szCs w:val="22"/>
        </w:rPr>
        <w:t>spreads</w:t>
      </w:r>
      <w:r w:rsidRPr="0094205B">
        <w:rPr>
          <w:sz w:val="22"/>
          <w:szCs w:val="22"/>
        </w:rPr>
        <w:t xml:space="preserve"> the means </w:t>
      </w:r>
      <w:r>
        <w:rPr>
          <w:sz w:val="22"/>
          <w:szCs w:val="22"/>
        </w:rPr>
        <w:t>of</w:t>
      </w:r>
      <w:r w:rsidRPr="0094205B">
        <w:rPr>
          <w:sz w:val="22"/>
          <w:szCs w:val="22"/>
        </w:rPr>
        <w:t xml:space="preserve"> gather</w:t>
      </w:r>
      <w:r>
        <w:rPr>
          <w:sz w:val="22"/>
          <w:szCs w:val="22"/>
        </w:rPr>
        <w:t>ing</w:t>
      </w:r>
      <w:r w:rsidRPr="0094205B">
        <w:rPr>
          <w:sz w:val="22"/>
          <w:szCs w:val="22"/>
        </w:rPr>
        <w:t xml:space="preserve"> data on a</w:t>
      </w:r>
      <w:r>
        <w:rPr>
          <w:sz w:val="22"/>
          <w:szCs w:val="22"/>
        </w:rPr>
        <w:t>n</w:t>
      </w:r>
      <w:r w:rsidRPr="0094205B">
        <w:rPr>
          <w:sz w:val="22"/>
          <w:szCs w:val="22"/>
        </w:rPr>
        <w:t xml:space="preserve"> unprecedented scale and take</w:t>
      </w:r>
      <w:r>
        <w:rPr>
          <w:sz w:val="22"/>
          <w:szCs w:val="22"/>
        </w:rPr>
        <w:t>s</w:t>
      </w:r>
      <w:r w:rsidRPr="0094205B">
        <w:rPr>
          <w:sz w:val="22"/>
          <w:szCs w:val="22"/>
        </w:rPr>
        <w:t xml:space="preserve"> decisions that are necessary to improve the process? Although the skeptic</w:t>
      </w:r>
      <w:r>
        <w:rPr>
          <w:sz w:val="22"/>
          <w:szCs w:val="22"/>
        </w:rPr>
        <w:t>, or realist for that matter,</w:t>
      </w:r>
      <w:r w:rsidRPr="0094205B">
        <w:rPr>
          <w:sz w:val="22"/>
          <w:szCs w:val="22"/>
        </w:rPr>
        <w:t xml:space="preserve"> might deem this a bit optimistic, </w:t>
      </w:r>
      <w:r>
        <w:rPr>
          <w:sz w:val="22"/>
          <w:szCs w:val="22"/>
        </w:rPr>
        <w:t xml:space="preserve">the </w:t>
      </w:r>
      <w:r w:rsidRPr="0094205B">
        <w:rPr>
          <w:sz w:val="22"/>
          <w:szCs w:val="22"/>
        </w:rPr>
        <w:t>fact is that</w:t>
      </w:r>
      <w:r>
        <w:rPr>
          <w:sz w:val="22"/>
          <w:szCs w:val="22"/>
        </w:rPr>
        <w:t xml:space="preserve"> </w:t>
      </w:r>
      <w:r w:rsidRPr="0094205B">
        <w:rPr>
          <w:sz w:val="22"/>
          <w:szCs w:val="22"/>
        </w:rPr>
        <w:t>the EU is</w:t>
      </w:r>
      <w:r>
        <w:rPr>
          <w:sz w:val="22"/>
          <w:szCs w:val="22"/>
        </w:rPr>
        <w:t xml:space="preserve"> and has been</w:t>
      </w:r>
      <w:r w:rsidRPr="0094205B">
        <w:rPr>
          <w:sz w:val="22"/>
          <w:szCs w:val="22"/>
        </w:rPr>
        <w:t xml:space="preserve"> actively collaborating with industry to get this vision airborn</w:t>
      </w:r>
      <w:r>
        <w:rPr>
          <w:sz w:val="22"/>
          <w:szCs w:val="22"/>
        </w:rPr>
        <w:t>e. There is no one common denominator for this utopian vision</w:t>
      </w:r>
      <w:r w:rsidR="009C6A43">
        <w:rPr>
          <w:sz w:val="22"/>
          <w:szCs w:val="22"/>
        </w:rPr>
        <w:t xml:space="preserve"> in the mainstream</w:t>
      </w:r>
      <w:r>
        <w:rPr>
          <w:sz w:val="22"/>
          <w:szCs w:val="22"/>
        </w:rPr>
        <w:t>, but the EU uses the term ‘the Internet of Things</w:t>
      </w:r>
      <w:r w:rsidR="001B0D06">
        <w:rPr>
          <w:sz w:val="22"/>
          <w:szCs w:val="22"/>
        </w:rPr>
        <w:t>’</w:t>
      </w:r>
      <w:r>
        <w:rPr>
          <w:sz w:val="22"/>
          <w:szCs w:val="22"/>
        </w:rPr>
        <w:t xml:space="preserve"> (hereafter the </w:t>
      </w:r>
      <w:proofErr w:type="spellStart"/>
      <w:r>
        <w:rPr>
          <w:sz w:val="22"/>
          <w:szCs w:val="22"/>
        </w:rPr>
        <w:t>IoT</w:t>
      </w:r>
      <w:proofErr w:type="spellEnd"/>
      <w:r>
        <w:rPr>
          <w:sz w:val="22"/>
          <w:szCs w:val="22"/>
        </w:rPr>
        <w:t>)</w:t>
      </w:r>
      <w:r w:rsidR="00F86A32">
        <w:rPr>
          <w:sz w:val="22"/>
          <w:szCs w:val="22"/>
        </w:rPr>
        <w:t xml:space="preserve"> </w:t>
      </w:r>
      <w:r>
        <w:rPr>
          <w:sz w:val="22"/>
          <w:szCs w:val="22"/>
        </w:rPr>
        <w:t xml:space="preserve">to formulate and build a </w:t>
      </w:r>
      <w:r w:rsidR="0000325B">
        <w:rPr>
          <w:sz w:val="22"/>
          <w:szCs w:val="22"/>
        </w:rPr>
        <w:t>specific</w:t>
      </w:r>
      <w:r>
        <w:rPr>
          <w:sz w:val="22"/>
          <w:szCs w:val="22"/>
        </w:rPr>
        <w:t xml:space="preserve"> part of their ICT-policy around</w:t>
      </w:r>
      <w:r w:rsidRPr="0094205B">
        <w:rPr>
          <w:sz w:val="22"/>
          <w:szCs w:val="22"/>
        </w:rPr>
        <w:t>.</w:t>
      </w:r>
      <w:r>
        <w:rPr>
          <w:sz w:val="22"/>
          <w:szCs w:val="22"/>
        </w:rPr>
        <w:t xml:space="preserve"> The central idea is to weave ICT into the fabric of everyday</w:t>
      </w:r>
      <w:r w:rsidR="00260DC9">
        <w:rPr>
          <w:sz w:val="22"/>
          <w:szCs w:val="22"/>
        </w:rPr>
        <w:t xml:space="preserve"> things</w:t>
      </w:r>
      <w:r>
        <w:rPr>
          <w:sz w:val="22"/>
          <w:szCs w:val="22"/>
        </w:rPr>
        <w:t xml:space="preserve">, connect </w:t>
      </w:r>
      <w:r w:rsidR="00260DC9">
        <w:rPr>
          <w:sz w:val="22"/>
          <w:szCs w:val="22"/>
        </w:rPr>
        <w:t xml:space="preserve">them </w:t>
      </w:r>
      <w:r>
        <w:rPr>
          <w:sz w:val="22"/>
          <w:szCs w:val="22"/>
        </w:rPr>
        <w:t xml:space="preserve">to the Internet and thus create an intelligent network that, according to EU-reports, </w:t>
      </w:r>
      <w:r w:rsidRPr="00CF6488">
        <w:rPr>
          <w:sz w:val="22"/>
          <w:szCs w:val="22"/>
        </w:rPr>
        <w:t>“will stimulate economic growth, improve individuals’ well-being and address some of today’s societal problems”</w:t>
      </w:r>
      <w:r>
        <w:rPr>
          <w:sz w:val="22"/>
          <w:szCs w:val="22"/>
        </w:rPr>
        <w:t>.</w:t>
      </w:r>
      <w:r>
        <w:rPr>
          <w:rStyle w:val="FootnoteReference"/>
          <w:sz w:val="22"/>
          <w:szCs w:val="22"/>
        </w:rPr>
        <w:footnoteReference w:id="4"/>
      </w:r>
      <w:r>
        <w:rPr>
          <w:sz w:val="22"/>
          <w:szCs w:val="22"/>
        </w:rPr>
        <w:t xml:space="preserve"> According to expectations expressed by the European Commission (hereafter the Commission) 50 billion things will be online by 2020, creating a vast web of things that are connected to the Internet and can be accessed</w:t>
      </w:r>
      <w:r w:rsidR="009C6A43">
        <w:rPr>
          <w:sz w:val="22"/>
          <w:szCs w:val="22"/>
        </w:rPr>
        <w:t xml:space="preserve"> from</w:t>
      </w:r>
      <w:r>
        <w:rPr>
          <w:sz w:val="22"/>
          <w:szCs w:val="22"/>
        </w:rPr>
        <w:t xml:space="preserve"> anywhere.</w:t>
      </w:r>
      <w:r>
        <w:rPr>
          <w:rStyle w:val="FootnoteReference"/>
          <w:sz w:val="22"/>
          <w:szCs w:val="22"/>
        </w:rPr>
        <w:footnoteReference w:id="5"/>
      </w:r>
      <w:r w:rsidR="00F86A32">
        <w:rPr>
          <w:sz w:val="22"/>
          <w:szCs w:val="22"/>
        </w:rPr>
        <w:t xml:space="preserve"> </w:t>
      </w:r>
      <w:r>
        <w:rPr>
          <w:sz w:val="22"/>
          <w:szCs w:val="22"/>
        </w:rPr>
        <w:t xml:space="preserve">According to the Head of Unit Internet of Things from the European Commission, </w:t>
      </w:r>
      <w:proofErr w:type="spellStart"/>
      <w:r>
        <w:rPr>
          <w:sz w:val="22"/>
          <w:szCs w:val="22"/>
        </w:rPr>
        <w:t>Gérald</w:t>
      </w:r>
      <w:proofErr w:type="spellEnd"/>
      <w:r>
        <w:rPr>
          <w:sz w:val="22"/>
          <w:szCs w:val="22"/>
        </w:rPr>
        <w:t xml:space="preserve"> </w:t>
      </w:r>
      <w:proofErr w:type="spellStart"/>
      <w:r>
        <w:rPr>
          <w:sz w:val="22"/>
          <w:szCs w:val="22"/>
        </w:rPr>
        <w:t>Santucci</w:t>
      </w:r>
      <w:proofErr w:type="spellEnd"/>
      <w:r>
        <w:rPr>
          <w:sz w:val="22"/>
          <w:szCs w:val="22"/>
        </w:rPr>
        <w:t xml:space="preserve">, the </w:t>
      </w:r>
      <w:proofErr w:type="spellStart"/>
      <w:r>
        <w:rPr>
          <w:sz w:val="22"/>
          <w:szCs w:val="22"/>
        </w:rPr>
        <w:t>IoT</w:t>
      </w:r>
      <w:proofErr w:type="spellEnd"/>
      <w:r>
        <w:rPr>
          <w:sz w:val="22"/>
          <w:szCs w:val="22"/>
        </w:rPr>
        <w:t xml:space="preserve"> even has the potential of connecting the 100 000 billion things that are deemed to exist on earth.</w:t>
      </w:r>
      <w:r>
        <w:rPr>
          <w:rStyle w:val="FootnoteReference"/>
          <w:sz w:val="22"/>
          <w:szCs w:val="22"/>
        </w:rPr>
        <w:footnoteReference w:id="6"/>
      </w:r>
      <w:r>
        <w:rPr>
          <w:sz w:val="22"/>
          <w:szCs w:val="22"/>
        </w:rPr>
        <w:t xml:space="preserve"> </w:t>
      </w:r>
    </w:p>
    <w:p w:rsidR="007F718F" w:rsidRDefault="007F718F" w:rsidP="005147C5">
      <w:pPr>
        <w:pStyle w:val="EndnoteText"/>
        <w:rPr>
          <w:sz w:val="22"/>
          <w:szCs w:val="22"/>
        </w:rPr>
      </w:pPr>
    </w:p>
    <w:p w:rsidR="00300F56" w:rsidRDefault="00300F56" w:rsidP="00300F56">
      <w:pPr>
        <w:pStyle w:val="EndnoteText"/>
        <w:rPr>
          <w:sz w:val="22"/>
          <w:szCs w:val="22"/>
        </w:rPr>
      </w:pPr>
      <w:r w:rsidRPr="00253812">
        <w:rPr>
          <w:sz w:val="22"/>
          <w:szCs w:val="22"/>
        </w:rPr>
        <w:t xml:space="preserve">The </w:t>
      </w:r>
      <w:proofErr w:type="spellStart"/>
      <w:r w:rsidRPr="00253812">
        <w:rPr>
          <w:sz w:val="22"/>
          <w:szCs w:val="22"/>
        </w:rPr>
        <w:t>IoT</w:t>
      </w:r>
      <w:proofErr w:type="spellEnd"/>
      <w:r w:rsidRPr="00253812">
        <w:rPr>
          <w:sz w:val="22"/>
          <w:szCs w:val="22"/>
        </w:rPr>
        <w:t xml:space="preserve"> m</w:t>
      </w:r>
      <w:r>
        <w:rPr>
          <w:sz w:val="22"/>
          <w:szCs w:val="22"/>
        </w:rPr>
        <w:t>ight</w:t>
      </w:r>
      <w:r w:rsidRPr="00253812">
        <w:rPr>
          <w:sz w:val="22"/>
          <w:szCs w:val="22"/>
        </w:rPr>
        <w:t xml:space="preserve"> sound far away, but according to Cisco it became a reality when the number of machines connected to the Internet exceeded the number of people in 2008-2009.</w:t>
      </w:r>
      <w:r>
        <w:t xml:space="preserve"> </w:t>
      </w:r>
      <w:r>
        <w:rPr>
          <w:sz w:val="22"/>
          <w:szCs w:val="22"/>
        </w:rPr>
        <w:t xml:space="preserve">A very broad </w:t>
      </w:r>
      <w:r w:rsidRPr="00993773">
        <w:rPr>
          <w:sz w:val="22"/>
          <w:szCs w:val="22"/>
        </w:rPr>
        <w:t xml:space="preserve">definition of the </w:t>
      </w:r>
      <w:proofErr w:type="spellStart"/>
      <w:r w:rsidRPr="00993773">
        <w:rPr>
          <w:sz w:val="22"/>
          <w:szCs w:val="22"/>
        </w:rPr>
        <w:t>IoT</w:t>
      </w:r>
      <w:proofErr w:type="spellEnd"/>
      <w:r w:rsidRPr="00993773">
        <w:rPr>
          <w:sz w:val="22"/>
          <w:szCs w:val="22"/>
        </w:rPr>
        <w:t xml:space="preserve"> is given </w:t>
      </w:r>
      <w:r w:rsidRPr="00993773">
        <w:rPr>
          <w:rStyle w:val="Strong"/>
          <w:b w:val="0"/>
          <w:bCs w:val="0"/>
          <w:sz w:val="22"/>
          <w:szCs w:val="22"/>
        </w:rPr>
        <w:t>by CASAGRAS (</w:t>
      </w:r>
      <w:r w:rsidRPr="00993773">
        <w:rPr>
          <w:rFonts w:cs="ArialMT"/>
          <w:sz w:val="22"/>
          <w:szCs w:val="22"/>
        </w:rPr>
        <w:t xml:space="preserve">Coordination And Support Action for Global RFID-related Activities and </w:t>
      </w:r>
      <w:proofErr w:type="spellStart"/>
      <w:r w:rsidRPr="00993773">
        <w:rPr>
          <w:rFonts w:cs="ArialMT"/>
          <w:sz w:val="22"/>
          <w:szCs w:val="22"/>
        </w:rPr>
        <w:t>Standardisation</w:t>
      </w:r>
      <w:proofErr w:type="spellEnd"/>
      <w:r w:rsidRPr="00993773">
        <w:rPr>
          <w:rFonts w:cs="ArialMT"/>
          <w:color w:val="272627"/>
          <w:sz w:val="22"/>
          <w:szCs w:val="22"/>
        </w:rPr>
        <w:t>)</w:t>
      </w:r>
      <w:r w:rsidR="00F86A32">
        <w:rPr>
          <w:rFonts w:cs="ArialMT"/>
          <w:color w:val="272627"/>
          <w:sz w:val="22"/>
          <w:szCs w:val="22"/>
        </w:rPr>
        <w:t xml:space="preserve"> </w:t>
      </w:r>
      <w:r w:rsidRPr="00993773">
        <w:rPr>
          <w:rStyle w:val="Strong"/>
          <w:b w:val="0"/>
          <w:bCs w:val="0"/>
          <w:sz w:val="22"/>
          <w:szCs w:val="22"/>
        </w:rPr>
        <w:t xml:space="preserve">as </w:t>
      </w:r>
      <w:r w:rsidRPr="00993773">
        <w:rPr>
          <w:sz w:val="22"/>
          <w:szCs w:val="22"/>
        </w:rPr>
        <w:t>"</w:t>
      </w:r>
      <w:r w:rsidRPr="00993773">
        <w:rPr>
          <w:iCs/>
          <w:sz w:val="22"/>
          <w:szCs w:val="22"/>
        </w:rPr>
        <w:t xml:space="preserve">a global network infrastructure, linking physical and virtual objects through the exploitation of data capture and communication capabilities. This infrastructure includes existing and involving Internet and network developments. It will offer specific object-identification, sensor and connection capability as the basis for the development of independent cooperative services and applications. These will be </w:t>
      </w:r>
      <w:proofErr w:type="spellStart"/>
      <w:r w:rsidRPr="00993773">
        <w:rPr>
          <w:iCs/>
          <w:sz w:val="22"/>
          <w:szCs w:val="22"/>
        </w:rPr>
        <w:t>characterised</w:t>
      </w:r>
      <w:proofErr w:type="spellEnd"/>
      <w:r w:rsidRPr="00993773">
        <w:rPr>
          <w:iCs/>
          <w:sz w:val="22"/>
          <w:szCs w:val="22"/>
        </w:rPr>
        <w:t xml:space="preserve"> by a high degree of autonomous data capture, event transfer, network connectivity and interoperability.</w:t>
      </w:r>
      <w:r w:rsidRPr="00993773">
        <w:rPr>
          <w:sz w:val="22"/>
          <w:szCs w:val="22"/>
        </w:rPr>
        <w:t>"</w:t>
      </w:r>
      <w:r w:rsidRPr="00993773">
        <w:rPr>
          <w:rStyle w:val="FootnoteReference"/>
          <w:sz w:val="22"/>
          <w:szCs w:val="22"/>
        </w:rPr>
        <w:footnoteReference w:id="7"/>
      </w:r>
      <w:r w:rsidRPr="00993773">
        <w:rPr>
          <w:sz w:val="22"/>
          <w:szCs w:val="22"/>
        </w:rPr>
        <w:t xml:space="preserve"> </w:t>
      </w:r>
    </w:p>
    <w:p w:rsidR="00300F56" w:rsidRDefault="00300F56" w:rsidP="005147C5">
      <w:pPr>
        <w:pStyle w:val="EndnoteText"/>
        <w:rPr>
          <w:sz w:val="22"/>
          <w:szCs w:val="22"/>
        </w:rPr>
      </w:pPr>
    </w:p>
    <w:p w:rsidR="002B6CA4" w:rsidRDefault="009C03B0" w:rsidP="002B6CA4">
      <w:pPr>
        <w:pStyle w:val="EndnoteText"/>
        <w:rPr>
          <w:sz w:val="22"/>
          <w:szCs w:val="22"/>
        </w:rPr>
      </w:pPr>
      <w:r>
        <w:rPr>
          <w:sz w:val="22"/>
          <w:szCs w:val="22"/>
        </w:rPr>
        <w:t xml:space="preserve">The shadow side of the </w:t>
      </w:r>
      <w:proofErr w:type="spellStart"/>
      <w:r>
        <w:rPr>
          <w:sz w:val="22"/>
          <w:szCs w:val="22"/>
        </w:rPr>
        <w:t>IoT</w:t>
      </w:r>
      <w:proofErr w:type="spellEnd"/>
      <w:r>
        <w:rPr>
          <w:sz w:val="22"/>
          <w:szCs w:val="22"/>
        </w:rPr>
        <w:t xml:space="preserve"> vision is that it only takes a few tweaks to turn this tailored-service-society</w:t>
      </w:r>
      <w:r>
        <w:rPr>
          <w:rStyle w:val="FootnoteReference"/>
          <w:sz w:val="22"/>
          <w:szCs w:val="22"/>
        </w:rPr>
        <w:footnoteReference w:id="8"/>
      </w:r>
      <w:r w:rsidR="009C6A43">
        <w:rPr>
          <w:sz w:val="22"/>
          <w:szCs w:val="22"/>
        </w:rPr>
        <w:t xml:space="preserve"> </w:t>
      </w:r>
      <w:r>
        <w:rPr>
          <w:sz w:val="22"/>
          <w:szCs w:val="22"/>
        </w:rPr>
        <w:t xml:space="preserve">into an unprecedented surveillance-society. The same data that is used to offer services can be used to gain control over </w:t>
      </w:r>
      <w:r w:rsidR="00F30053">
        <w:rPr>
          <w:sz w:val="22"/>
          <w:szCs w:val="22"/>
        </w:rPr>
        <w:t xml:space="preserve">a </w:t>
      </w:r>
      <w:r>
        <w:rPr>
          <w:sz w:val="22"/>
          <w:szCs w:val="22"/>
        </w:rPr>
        <w:t xml:space="preserve">data subject. </w:t>
      </w:r>
      <w:r w:rsidR="00F86A32">
        <w:rPr>
          <w:sz w:val="22"/>
          <w:szCs w:val="22"/>
        </w:rPr>
        <w:t xml:space="preserve"> </w:t>
      </w:r>
      <w:r w:rsidR="002B6CA4">
        <w:rPr>
          <w:sz w:val="22"/>
          <w:szCs w:val="22"/>
        </w:rPr>
        <w:t xml:space="preserve">This use of data for a different goal than it was collected for is commonly known as </w:t>
      </w:r>
      <w:r w:rsidR="002B6CA4">
        <w:rPr>
          <w:i/>
          <w:sz w:val="22"/>
          <w:szCs w:val="22"/>
        </w:rPr>
        <w:t xml:space="preserve">function </w:t>
      </w:r>
      <w:r w:rsidR="002B6CA4" w:rsidRPr="00A12DCC">
        <w:rPr>
          <w:i/>
          <w:sz w:val="22"/>
          <w:szCs w:val="22"/>
        </w:rPr>
        <w:t>creep</w:t>
      </w:r>
      <w:r w:rsidR="002B6CA4" w:rsidRPr="00B56B57">
        <w:rPr>
          <w:sz w:val="22"/>
          <w:szCs w:val="22"/>
        </w:rPr>
        <w:t xml:space="preserve">. </w:t>
      </w:r>
      <w:r w:rsidR="002B6CA4">
        <w:rPr>
          <w:sz w:val="22"/>
          <w:szCs w:val="22"/>
        </w:rPr>
        <w:t>This term</w:t>
      </w:r>
      <w:r w:rsidR="002B6CA4" w:rsidRPr="00B56B57">
        <w:rPr>
          <w:sz w:val="22"/>
          <w:szCs w:val="22"/>
        </w:rPr>
        <w:t xml:space="preserve"> originated</w:t>
      </w:r>
      <w:r w:rsidR="00F86A32">
        <w:rPr>
          <w:sz w:val="22"/>
          <w:szCs w:val="22"/>
        </w:rPr>
        <w:t xml:space="preserve"> </w:t>
      </w:r>
      <w:r w:rsidR="002B6CA4" w:rsidRPr="00B56B57">
        <w:rPr>
          <w:sz w:val="22"/>
          <w:szCs w:val="22"/>
        </w:rPr>
        <w:t xml:space="preserve">in the world of technology to </w:t>
      </w:r>
      <w:r w:rsidR="002B6CA4">
        <w:rPr>
          <w:sz w:val="22"/>
          <w:szCs w:val="22"/>
        </w:rPr>
        <w:t>indicate</w:t>
      </w:r>
      <w:r w:rsidR="002B6CA4" w:rsidRPr="00B56B57">
        <w:rPr>
          <w:sz w:val="22"/>
          <w:szCs w:val="22"/>
        </w:rPr>
        <w:t xml:space="preserve"> inventions that were intended to serve a certain goal, </w:t>
      </w:r>
      <w:r w:rsidR="002B6CA4">
        <w:rPr>
          <w:sz w:val="22"/>
          <w:szCs w:val="22"/>
        </w:rPr>
        <w:t>that</w:t>
      </w:r>
      <w:r w:rsidR="002B6CA4" w:rsidRPr="00B56B57">
        <w:rPr>
          <w:sz w:val="22"/>
          <w:szCs w:val="22"/>
        </w:rPr>
        <w:t xml:space="preserve"> later</w:t>
      </w:r>
      <w:r w:rsidR="002B6CA4">
        <w:rPr>
          <w:sz w:val="22"/>
          <w:szCs w:val="22"/>
        </w:rPr>
        <w:t xml:space="preserve"> were</w:t>
      </w:r>
      <w:r w:rsidR="002B6CA4" w:rsidRPr="00B56B57">
        <w:rPr>
          <w:sz w:val="22"/>
          <w:szCs w:val="22"/>
        </w:rPr>
        <w:t xml:space="preserve"> used for a different function. </w:t>
      </w:r>
      <w:r w:rsidR="002B6CA4">
        <w:rPr>
          <w:sz w:val="22"/>
          <w:szCs w:val="22"/>
        </w:rPr>
        <w:lastRenderedPageBreak/>
        <w:t xml:space="preserve">Therefore I will use the more accurate </w:t>
      </w:r>
      <w:r w:rsidR="002B6CA4">
        <w:rPr>
          <w:i/>
          <w:sz w:val="22"/>
          <w:szCs w:val="22"/>
        </w:rPr>
        <w:t>purpose creep</w:t>
      </w:r>
      <w:r w:rsidR="002B6CA4">
        <w:rPr>
          <w:sz w:val="22"/>
          <w:szCs w:val="22"/>
        </w:rPr>
        <w:t>.</w:t>
      </w:r>
      <w:r w:rsidR="00010F56">
        <w:rPr>
          <w:rStyle w:val="FootnoteReference"/>
          <w:sz w:val="22"/>
          <w:szCs w:val="22"/>
        </w:rPr>
        <w:footnoteReference w:id="9"/>
      </w:r>
      <w:r w:rsidR="00F86A32">
        <w:rPr>
          <w:sz w:val="22"/>
          <w:szCs w:val="22"/>
        </w:rPr>
        <w:t xml:space="preserve"> </w:t>
      </w:r>
      <w:r w:rsidR="009C6A43">
        <w:rPr>
          <w:sz w:val="22"/>
          <w:szCs w:val="22"/>
        </w:rPr>
        <w:t>O</w:t>
      </w:r>
      <w:r w:rsidR="009C6A43" w:rsidRPr="00211AB2">
        <w:rPr>
          <w:sz w:val="22"/>
          <w:szCs w:val="22"/>
        </w:rPr>
        <w:t>bjects</w:t>
      </w:r>
      <w:r w:rsidR="009C6A43">
        <w:rPr>
          <w:sz w:val="22"/>
          <w:szCs w:val="22"/>
        </w:rPr>
        <w:t xml:space="preserve"> in the </w:t>
      </w:r>
      <w:proofErr w:type="spellStart"/>
      <w:r w:rsidR="009C6A43">
        <w:rPr>
          <w:sz w:val="22"/>
          <w:szCs w:val="22"/>
        </w:rPr>
        <w:t>IoT</w:t>
      </w:r>
      <w:proofErr w:type="spellEnd"/>
      <w:r w:rsidR="009C6A43" w:rsidRPr="00211AB2">
        <w:rPr>
          <w:sz w:val="22"/>
          <w:szCs w:val="22"/>
        </w:rPr>
        <w:t xml:space="preserve"> can</w:t>
      </w:r>
      <w:r w:rsidR="009C6A43">
        <w:rPr>
          <w:sz w:val="22"/>
          <w:szCs w:val="22"/>
        </w:rPr>
        <w:t xml:space="preserve"> not only be accessed, but also</w:t>
      </w:r>
      <w:r w:rsidR="009C6A43" w:rsidRPr="00211AB2">
        <w:rPr>
          <w:sz w:val="22"/>
          <w:szCs w:val="22"/>
        </w:rPr>
        <w:t xml:space="preserve"> “read, </w:t>
      </w:r>
      <w:proofErr w:type="spellStart"/>
      <w:r w:rsidR="009C6A43" w:rsidRPr="00211AB2">
        <w:rPr>
          <w:sz w:val="22"/>
          <w:szCs w:val="22"/>
        </w:rPr>
        <w:t>recognised</w:t>
      </w:r>
      <w:proofErr w:type="spellEnd"/>
      <w:r w:rsidR="009C6A43" w:rsidRPr="00211AB2">
        <w:rPr>
          <w:sz w:val="22"/>
          <w:szCs w:val="22"/>
        </w:rPr>
        <w:t>, addressed, located</w:t>
      </w:r>
      <w:r w:rsidR="00F86A32">
        <w:rPr>
          <w:sz w:val="22"/>
          <w:szCs w:val="22"/>
        </w:rPr>
        <w:t xml:space="preserve"> </w:t>
      </w:r>
      <w:r w:rsidR="009C6A43" w:rsidRPr="00211AB2">
        <w:rPr>
          <w:sz w:val="22"/>
          <w:szCs w:val="22"/>
        </w:rPr>
        <w:t>and/or controlled remotely through the internet”.</w:t>
      </w:r>
      <w:r w:rsidR="009C6A43" w:rsidRPr="00211AB2">
        <w:rPr>
          <w:rStyle w:val="FootnoteReference"/>
          <w:sz w:val="22"/>
          <w:szCs w:val="22"/>
        </w:rPr>
        <w:footnoteReference w:id="10"/>
      </w:r>
    </w:p>
    <w:p w:rsidR="005147C5" w:rsidRDefault="005147C5" w:rsidP="005147C5">
      <w:pPr>
        <w:pStyle w:val="EndnoteText"/>
        <w:rPr>
          <w:sz w:val="22"/>
          <w:szCs w:val="22"/>
        </w:rPr>
      </w:pPr>
      <w:r w:rsidRPr="00DC0275">
        <w:rPr>
          <w:sz w:val="22"/>
          <w:szCs w:val="22"/>
        </w:rPr>
        <w:t xml:space="preserve"> </w:t>
      </w:r>
    </w:p>
    <w:p w:rsidR="00144A47" w:rsidRPr="00EC784A" w:rsidRDefault="00AF590B" w:rsidP="00144A47">
      <w:pPr>
        <w:pStyle w:val="EndnoteText"/>
        <w:rPr>
          <w:b/>
          <w:sz w:val="22"/>
          <w:szCs w:val="22"/>
        </w:rPr>
      </w:pPr>
      <w:r w:rsidRPr="0089358C">
        <w:rPr>
          <w:sz w:val="22"/>
          <w:szCs w:val="22"/>
        </w:rPr>
        <w:t xml:space="preserve">The question that </w:t>
      </w:r>
      <w:r>
        <w:rPr>
          <w:sz w:val="22"/>
          <w:szCs w:val="22"/>
        </w:rPr>
        <w:t xml:space="preserve">I try to answer </w:t>
      </w:r>
      <w:r w:rsidRPr="0089358C">
        <w:rPr>
          <w:sz w:val="22"/>
          <w:szCs w:val="22"/>
        </w:rPr>
        <w:t xml:space="preserve">in the </w:t>
      </w:r>
      <w:r>
        <w:rPr>
          <w:sz w:val="22"/>
          <w:szCs w:val="22"/>
        </w:rPr>
        <w:t>conclusion</w:t>
      </w:r>
      <w:r w:rsidRPr="0089358C">
        <w:rPr>
          <w:sz w:val="22"/>
          <w:szCs w:val="22"/>
        </w:rPr>
        <w:t xml:space="preserve"> of this </w:t>
      </w:r>
      <w:r>
        <w:rPr>
          <w:sz w:val="22"/>
          <w:szCs w:val="22"/>
        </w:rPr>
        <w:t>paper</w:t>
      </w:r>
      <w:r w:rsidRPr="0089358C">
        <w:rPr>
          <w:sz w:val="22"/>
          <w:szCs w:val="22"/>
        </w:rPr>
        <w:t xml:space="preserve"> is if the policy of the EU with regard to the </w:t>
      </w:r>
      <w:proofErr w:type="spellStart"/>
      <w:r w:rsidRPr="0089358C">
        <w:rPr>
          <w:sz w:val="22"/>
          <w:szCs w:val="22"/>
        </w:rPr>
        <w:t>IoT</w:t>
      </w:r>
      <w:proofErr w:type="spellEnd"/>
      <w:r>
        <w:rPr>
          <w:sz w:val="22"/>
          <w:szCs w:val="22"/>
        </w:rPr>
        <w:t xml:space="preserve"> </w:t>
      </w:r>
      <w:r w:rsidRPr="0089358C">
        <w:rPr>
          <w:sz w:val="22"/>
          <w:szCs w:val="22"/>
        </w:rPr>
        <w:t xml:space="preserve">does not amount to a </w:t>
      </w:r>
      <w:r w:rsidRPr="007A24E0">
        <w:rPr>
          <w:i/>
          <w:sz w:val="22"/>
          <w:szCs w:val="22"/>
        </w:rPr>
        <w:t>purpose creep by design</w:t>
      </w:r>
      <w:r w:rsidRPr="0089358C">
        <w:rPr>
          <w:sz w:val="22"/>
          <w:szCs w:val="22"/>
        </w:rPr>
        <w:t xml:space="preserve"> that conflicts with the core of privacy protected by Article 8 ECHR?</w:t>
      </w:r>
      <w:r>
        <w:rPr>
          <w:sz w:val="22"/>
          <w:szCs w:val="22"/>
        </w:rPr>
        <w:t xml:space="preserve"> </w:t>
      </w:r>
      <w:r w:rsidR="00144A47" w:rsidRPr="0089358C">
        <w:rPr>
          <w:sz w:val="22"/>
          <w:szCs w:val="22"/>
        </w:rPr>
        <w:t xml:space="preserve">The first part of this </w:t>
      </w:r>
      <w:r w:rsidR="00002BED">
        <w:rPr>
          <w:sz w:val="22"/>
          <w:szCs w:val="22"/>
        </w:rPr>
        <w:t>paper</w:t>
      </w:r>
      <w:r w:rsidR="00144A47" w:rsidRPr="0089358C">
        <w:rPr>
          <w:sz w:val="22"/>
          <w:szCs w:val="22"/>
        </w:rPr>
        <w:t xml:space="preserve"> I will use to </w:t>
      </w:r>
      <w:r w:rsidR="00002BED">
        <w:rPr>
          <w:sz w:val="22"/>
          <w:szCs w:val="22"/>
        </w:rPr>
        <w:t>show how EU funding con</w:t>
      </w:r>
      <w:r w:rsidR="009F0023">
        <w:rPr>
          <w:sz w:val="22"/>
          <w:szCs w:val="22"/>
        </w:rPr>
        <w:t>t</w:t>
      </w:r>
      <w:r w:rsidR="00002BED">
        <w:rPr>
          <w:sz w:val="22"/>
          <w:szCs w:val="22"/>
        </w:rPr>
        <w:t xml:space="preserve">ributes to realizing the </w:t>
      </w:r>
      <w:proofErr w:type="spellStart"/>
      <w:r w:rsidR="00002BED">
        <w:rPr>
          <w:sz w:val="22"/>
          <w:szCs w:val="22"/>
        </w:rPr>
        <w:t>IoT</w:t>
      </w:r>
      <w:proofErr w:type="spellEnd"/>
      <w:r w:rsidR="00002BED">
        <w:rPr>
          <w:sz w:val="22"/>
          <w:szCs w:val="22"/>
        </w:rPr>
        <w:t xml:space="preserve"> vision and through examples reveal how this relates to surveillance activities. In the second part I </w:t>
      </w:r>
      <w:r w:rsidR="00144A47" w:rsidRPr="0089358C">
        <w:rPr>
          <w:sz w:val="22"/>
          <w:szCs w:val="22"/>
        </w:rPr>
        <w:t xml:space="preserve">construct my hypothesis that EU policy with regard to the </w:t>
      </w:r>
      <w:proofErr w:type="spellStart"/>
      <w:r w:rsidR="00144A47" w:rsidRPr="0089358C">
        <w:rPr>
          <w:sz w:val="22"/>
          <w:szCs w:val="22"/>
        </w:rPr>
        <w:t>IoT</w:t>
      </w:r>
      <w:proofErr w:type="spellEnd"/>
      <w:r w:rsidR="00144A47" w:rsidRPr="0089358C">
        <w:rPr>
          <w:sz w:val="22"/>
          <w:szCs w:val="22"/>
        </w:rPr>
        <w:t xml:space="preserve"> guides a process aimed at the capturing of people their everyday </w:t>
      </w:r>
      <w:r w:rsidR="00EE1872" w:rsidRPr="0089358C">
        <w:rPr>
          <w:sz w:val="22"/>
          <w:szCs w:val="22"/>
        </w:rPr>
        <w:t>b</w:t>
      </w:r>
      <w:r w:rsidR="00144A47" w:rsidRPr="0089358C">
        <w:rPr>
          <w:sz w:val="22"/>
          <w:szCs w:val="22"/>
        </w:rPr>
        <w:t xml:space="preserve">ehavior by </w:t>
      </w:r>
      <w:proofErr w:type="spellStart"/>
      <w:r w:rsidR="00144A47" w:rsidRPr="0089358C">
        <w:rPr>
          <w:sz w:val="22"/>
          <w:szCs w:val="22"/>
        </w:rPr>
        <w:t>IoT</w:t>
      </w:r>
      <w:proofErr w:type="spellEnd"/>
      <w:r w:rsidR="00144A47" w:rsidRPr="0089358C">
        <w:rPr>
          <w:sz w:val="22"/>
          <w:szCs w:val="22"/>
        </w:rPr>
        <w:t xml:space="preserve"> objects &amp; devices that will autonomously set flows of data in motion </w:t>
      </w:r>
      <w:r w:rsidR="009C6A43">
        <w:rPr>
          <w:sz w:val="22"/>
          <w:szCs w:val="22"/>
        </w:rPr>
        <w:t>which are</w:t>
      </w:r>
      <w:r w:rsidR="00144A47" w:rsidRPr="0089358C">
        <w:rPr>
          <w:sz w:val="22"/>
          <w:szCs w:val="22"/>
        </w:rPr>
        <w:t xml:space="preserve"> transmitted over publicly available electronic communication networks and that this will result</w:t>
      </w:r>
      <w:r w:rsidR="00842D82">
        <w:rPr>
          <w:sz w:val="22"/>
          <w:szCs w:val="22"/>
        </w:rPr>
        <w:t xml:space="preserve"> in a large amount of data that</w:t>
      </w:r>
      <w:r w:rsidR="00842D82" w:rsidRPr="0089358C">
        <w:rPr>
          <w:sz w:val="22"/>
          <w:szCs w:val="22"/>
        </w:rPr>
        <w:t xml:space="preserve"> </w:t>
      </w:r>
      <w:r w:rsidR="00842D82" w:rsidRPr="00842D82">
        <w:rPr>
          <w:sz w:val="22"/>
          <w:szCs w:val="22"/>
        </w:rPr>
        <w:t>will fuel the future surveillance assemblage of Europe</w:t>
      </w:r>
      <w:r w:rsidR="00842D82">
        <w:rPr>
          <w:sz w:val="22"/>
          <w:szCs w:val="22"/>
        </w:rPr>
        <w:t>.</w:t>
      </w:r>
      <w:r w:rsidR="00842D82" w:rsidRPr="0089358C">
        <w:rPr>
          <w:sz w:val="22"/>
          <w:szCs w:val="22"/>
        </w:rPr>
        <w:t xml:space="preserve"> </w:t>
      </w:r>
      <w:r w:rsidR="00144A47" w:rsidRPr="0089358C">
        <w:rPr>
          <w:sz w:val="22"/>
          <w:szCs w:val="22"/>
        </w:rPr>
        <w:t xml:space="preserve">Furthermore I argue why this will have a transformative effect on the face of surveillance. </w:t>
      </w:r>
    </w:p>
    <w:p w:rsidR="00B429FC" w:rsidRDefault="00B429FC" w:rsidP="005147C5">
      <w:pPr>
        <w:pStyle w:val="EndnoteText"/>
        <w:rPr>
          <w:sz w:val="22"/>
          <w:szCs w:val="22"/>
        </w:rPr>
      </w:pPr>
    </w:p>
    <w:p w:rsidR="00AF590B" w:rsidRDefault="00AF1C5D">
      <w:pPr>
        <w:pStyle w:val="Heading2"/>
        <w:numPr>
          <w:ilvl w:val="0"/>
          <w:numId w:val="12"/>
        </w:numPr>
        <w:rPr>
          <w:lang w:val="en-US"/>
        </w:rPr>
      </w:pPr>
      <w:bookmarkStart w:id="4" w:name="_Toc342048308"/>
      <w:bookmarkStart w:id="5" w:name="_Toc346967724"/>
      <w:bookmarkStart w:id="6" w:name="_Toc347068599"/>
      <w:bookmarkStart w:id="7" w:name="_Toc347145354"/>
      <w:r>
        <w:rPr>
          <w:lang w:val="en-US"/>
        </w:rPr>
        <w:t>EU Policy on the Internet of Things</w:t>
      </w:r>
      <w:bookmarkEnd w:id="4"/>
      <w:bookmarkEnd w:id="5"/>
      <w:bookmarkEnd w:id="6"/>
      <w:bookmarkEnd w:id="7"/>
    </w:p>
    <w:p w:rsidR="00A65F64" w:rsidRDefault="00DC0275" w:rsidP="00CE083C">
      <w:pPr>
        <w:pStyle w:val="EndnoteText"/>
        <w:rPr>
          <w:sz w:val="22"/>
          <w:szCs w:val="22"/>
        </w:rPr>
      </w:pPr>
      <w:r>
        <w:rPr>
          <w:sz w:val="22"/>
          <w:szCs w:val="22"/>
        </w:rPr>
        <w:t xml:space="preserve">The </w:t>
      </w:r>
      <w:proofErr w:type="spellStart"/>
      <w:r>
        <w:rPr>
          <w:sz w:val="22"/>
          <w:szCs w:val="22"/>
        </w:rPr>
        <w:t>IoT</w:t>
      </w:r>
      <w:proofErr w:type="spellEnd"/>
      <w:r>
        <w:rPr>
          <w:sz w:val="22"/>
          <w:szCs w:val="22"/>
        </w:rPr>
        <w:t xml:space="preserve"> was already exercising minds of the Commission before </w:t>
      </w:r>
      <w:r w:rsidR="005923CF">
        <w:rPr>
          <w:sz w:val="22"/>
          <w:szCs w:val="22"/>
        </w:rPr>
        <w:t xml:space="preserve">the Action Plan on the </w:t>
      </w:r>
      <w:proofErr w:type="spellStart"/>
      <w:r w:rsidR="005923CF">
        <w:rPr>
          <w:sz w:val="22"/>
          <w:szCs w:val="22"/>
        </w:rPr>
        <w:t>IoT</w:t>
      </w:r>
      <w:proofErr w:type="spellEnd"/>
      <w:r w:rsidR="005923CF">
        <w:rPr>
          <w:sz w:val="22"/>
          <w:szCs w:val="22"/>
        </w:rPr>
        <w:t xml:space="preserve"> </w:t>
      </w:r>
      <w:r>
        <w:rPr>
          <w:sz w:val="22"/>
          <w:szCs w:val="22"/>
        </w:rPr>
        <w:t xml:space="preserve">was released. </w:t>
      </w:r>
      <w:r w:rsidR="009A3A18">
        <w:rPr>
          <w:sz w:val="22"/>
          <w:szCs w:val="22"/>
        </w:rPr>
        <w:t>In</w:t>
      </w:r>
      <w:r w:rsidR="005923CF">
        <w:rPr>
          <w:sz w:val="22"/>
          <w:szCs w:val="22"/>
        </w:rPr>
        <w:t xml:space="preserve"> a roadmap on Radio Frequency Identification (RFID) of the Commission from 2006 the </w:t>
      </w:r>
      <w:proofErr w:type="spellStart"/>
      <w:r w:rsidR="005923CF">
        <w:rPr>
          <w:sz w:val="22"/>
          <w:szCs w:val="22"/>
        </w:rPr>
        <w:t>IoT</w:t>
      </w:r>
      <w:proofErr w:type="spellEnd"/>
      <w:r w:rsidR="005923CF">
        <w:rPr>
          <w:sz w:val="22"/>
          <w:szCs w:val="22"/>
        </w:rPr>
        <w:t xml:space="preserve"> is already mentioned</w:t>
      </w:r>
      <w:r w:rsidR="005923CF">
        <w:rPr>
          <w:rStyle w:val="FootnoteReference"/>
          <w:sz w:val="22"/>
          <w:szCs w:val="22"/>
        </w:rPr>
        <w:footnoteReference w:id="11"/>
      </w:r>
      <w:r w:rsidR="00375397">
        <w:rPr>
          <w:sz w:val="22"/>
          <w:szCs w:val="22"/>
        </w:rPr>
        <w:t>, as well as in a speech of the Commissioner Information Society and Media</w:t>
      </w:r>
      <w:r w:rsidR="000D3404">
        <w:rPr>
          <w:sz w:val="22"/>
          <w:szCs w:val="22"/>
        </w:rPr>
        <w:t xml:space="preserve"> at that time, Viviane </w:t>
      </w:r>
      <w:proofErr w:type="spellStart"/>
      <w:r w:rsidR="000D3404">
        <w:rPr>
          <w:sz w:val="22"/>
          <w:szCs w:val="22"/>
        </w:rPr>
        <w:t>Reding</w:t>
      </w:r>
      <w:proofErr w:type="spellEnd"/>
      <w:r w:rsidR="00375397">
        <w:rPr>
          <w:sz w:val="22"/>
          <w:szCs w:val="22"/>
        </w:rPr>
        <w:t>.</w:t>
      </w:r>
      <w:r w:rsidR="00375397">
        <w:rPr>
          <w:rStyle w:val="FootnoteReference"/>
          <w:sz w:val="22"/>
          <w:szCs w:val="22"/>
        </w:rPr>
        <w:footnoteReference w:id="12"/>
      </w:r>
      <w:r w:rsidR="00D27743">
        <w:rPr>
          <w:sz w:val="22"/>
          <w:szCs w:val="22"/>
        </w:rPr>
        <w:t xml:space="preserve"> In 2007 the Commission published a Communication on RFID in Europe, </w:t>
      </w:r>
      <w:r w:rsidR="000A36E5">
        <w:rPr>
          <w:sz w:val="22"/>
          <w:szCs w:val="22"/>
        </w:rPr>
        <w:t xml:space="preserve">in which it repeatedly mentions the </w:t>
      </w:r>
      <w:proofErr w:type="spellStart"/>
      <w:r w:rsidR="000A36E5">
        <w:rPr>
          <w:sz w:val="22"/>
          <w:szCs w:val="22"/>
        </w:rPr>
        <w:t>IoT</w:t>
      </w:r>
      <w:proofErr w:type="spellEnd"/>
      <w:r w:rsidR="000A36E5">
        <w:rPr>
          <w:sz w:val="22"/>
          <w:szCs w:val="22"/>
        </w:rPr>
        <w:t xml:space="preserve"> </w:t>
      </w:r>
      <w:r>
        <w:rPr>
          <w:sz w:val="22"/>
          <w:szCs w:val="22"/>
        </w:rPr>
        <w:t>and</w:t>
      </w:r>
      <w:r w:rsidR="000A36E5">
        <w:rPr>
          <w:sz w:val="22"/>
          <w:szCs w:val="22"/>
        </w:rPr>
        <w:t xml:space="preserve"> formulates guidelines for policy </w:t>
      </w:r>
      <w:r w:rsidR="00595D5A">
        <w:rPr>
          <w:sz w:val="22"/>
          <w:szCs w:val="22"/>
        </w:rPr>
        <w:t>on it</w:t>
      </w:r>
      <w:r w:rsidR="000A36E5">
        <w:rPr>
          <w:sz w:val="22"/>
          <w:szCs w:val="22"/>
        </w:rPr>
        <w:t>.</w:t>
      </w:r>
      <w:r w:rsidR="00DF6FE0">
        <w:rPr>
          <w:rStyle w:val="FootnoteReference"/>
          <w:sz w:val="22"/>
          <w:szCs w:val="22"/>
        </w:rPr>
        <w:footnoteReference w:id="13"/>
      </w:r>
      <w:r w:rsidR="00F86A32">
        <w:rPr>
          <w:sz w:val="22"/>
          <w:szCs w:val="22"/>
        </w:rPr>
        <w:t xml:space="preserve"> </w:t>
      </w:r>
      <w:r w:rsidR="000A36E5">
        <w:rPr>
          <w:sz w:val="22"/>
          <w:szCs w:val="22"/>
        </w:rPr>
        <w:t xml:space="preserve">The term ‘Internet of Things’ </w:t>
      </w:r>
      <w:r>
        <w:rPr>
          <w:sz w:val="22"/>
          <w:szCs w:val="22"/>
        </w:rPr>
        <w:t xml:space="preserve">is a bit older and </w:t>
      </w:r>
      <w:r w:rsidR="000A36E5">
        <w:rPr>
          <w:sz w:val="22"/>
          <w:szCs w:val="22"/>
        </w:rPr>
        <w:t xml:space="preserve">was </w:t>
      </w:r>
      <w:r w:rsidR="004647BF" w:rsidRPr="004647BF">
        <w:rPr>
          <w:sz w:val="22"/>
          <w:szCs w:val="22"/>
        </w:rPr>
        <w:t xml:space="preserve">introduced </w:t>
      </w:r>
      <w:r w:rsidR="000A36E5">
        <w:rPr>
          <w:sz w:val="22"/>
          <w:szCs w:val="22"/>
        </w:rPr>
        <w:t xml:space="preserve">by </w:t>
      </w:r>
      <w:r w:rsidR="004647BF" w:rsidRPr="004647BF">
        <w:rPr>
          <w:sz w:val="22"/>
          <w:szCs w:val="22"/>
        </w:rPr>
        <w:t>Kevin Ashton in a presentation for Procter &amp; Gamble</w:t>
      </w:r>
      <w:r w:rsidR="004647BF">
        <w:rPr>
          <w:sz w:val="22"/>
          <w:szCs w:val="22"/>
        </w:rPr>
        <w:t xml:space="preserve">. </w:t>
      </w:r>
      <w:r w:rsidR="004647BF" w:rsidRPr="004647BF">
        <w:rPr>
          <w:sz w:val="22"/>
          <w:szCs w:val="22"/>
        </w:rPr>
        <w:t>“If we had computers that knew everything that there was to know about things – using data they gathered without any help from us – we would be able to track and count everything, and greatly reduce waste, loss and cost. We would know when things needed replacing, repairing or recalling, and whether they were fresh or past their best.”</w:t>
      </w:r>
      <w:r w:rsidR="004647BF" w:rsidRPr="004647BF">
        <w:rPr>
          <w:rStyle w:val="FootnoteReference"/>
          <w:sz w:val="22"/>
          <w:szCs w:val="22"/>
        </w:rPr>
        <w:footnoteReference w:id="14"/>
      </w:r>
      <w:r w:rsidR="004647BF" w:rsidRPr="004647BF">
        <w:rPr>
          <w:sz w:val="22"/>
          <w:szCs w:val="22"/>
        </w:rPr>
        <w:t xml:space="preserve"> </w:t>
      </w:r>
      <w:r w:rsidR="002A29F0">
        <w:rPr>
          <w:sz w:val="22"/>
          <w:szCs w:val="22"/>
        </w:rPr>
        <w:t xml:space="preserve">I </w:t>
      </w:r>
      <w:r w:rsidR="004D1DDC">
        <w:rPr>
          <w:sz w:val="22"/>
          <w:szCs w:val="22"/>
        </w:rPr>
        <w:t>emphasize what I mentioned before,</w:t>
      </w:r>
      <w:r w:rsidR="002A29F0">
        <w:rPr>
          <w:sz w:val="22"/>
          <w:szCs w:val="22"/>
        </w:rPr>
        <w:t xml:space="preserve"> that this is an</w:t>
      </w:r>
      <w:r w:rsidR="004647BF" w:rsidRPr="004647BF">
        <w:rPr>
          <w:sz w:val="22"/>
          <w:szCs w:val="22"/>
        </w:rPr>
        <w:t xml:space="preserve"> essential characteristic of the </w:t>
      </w:r>
      <w:proofErr w:type="spellStart"/>
      <w:r w:rsidR="004647BF" w:rsidRPr="004647BF">
        <w:rPr>
          <w:sz w:val="22"/>
          <w:szCs w:val="22"/>
        </w:rPr>
        <w:t>IoT</w:t>
      </w:r>
      <w:proofErr w:type="spellEnd"/>
      <w:r w:rsidR="004647BF" w:rsidRPr="004647BF">
        <w:rPr>
          <w:sz w:val="22"/>
          <w:szCs w:val="22"/>
        </w:rPr>
        <w:t xml:space="preserve">: </w:t>
      </w:r>
      <w:r>
        <w:rPr>
          <w:sz w:val="22"/>
          <w:szCs w:val="22"/>
        </w:rPr>
        <w:t xml:space="preserve">data flows are </w:t>
      </w:r>
      <w:r w:rsidR="004D1DDC">
        <w:rPr>
          <w:sz w:val="22"/>
          <w:szCs w:val="22"/>
        </w:rPr>
        <w:t xml:space="preserve">autonomously </w:t>
      </w:r>
      <w:r>
        <w:rPr>
          <w:sz w:val="22"/>
          <w:szCs w:val="22"/>
        </w:rPr>
        <w:t>set in motion</w:t>
      </w:r>
      <w:r w:rsidR="004D1DDC">
        <w:rPr>
          <w:sz w:val="22"/>
          <w:szCs w:val="22"/>
        </w:rPr>
        <w:t>,</w:t>
      </w:r>
      <w:r w:rsidR="004647BF" w:rsidRPr="004647BF">
        <w:rPr>
          <w:sz w:val="22"/>
          <w:szCs w:val="22"/>
        </w:rPr>
        <w:t xml:space="preserve"> without</w:t>
      </w:r>
      <w:r>
        <w:rPr>
          <w:sz w:val="22"/>
          <w:szCs w:val="22"/>
        </w:rPr>
        <w:t xml:space="preserve"> direct</w:t>
      </w:r>
      <w:r w:rsidR="004647BF" w:rsidRPr="004647BF">
        <w:rPr>
          <w:sz w:val="22"/>
          <w:szCs w:val="22"/>
        </w:rPr>
        <w:t xml:space="preserve"> human intervention. Another description he gave to the </w:t>
      </w:r>
      <w:proofErr w:type="spellStart"/>
      <w:r w:rsidR="004647BF" w:rsidRPr="004647BF">
        <w:rPr>
          <w:sz w:val="22"/>
          <w:szCs w:val="22"/>
        </w:rPr>
        <w:t>IoT</w:t>
      </w:r>
      <w:proofErr w:type="spellEnd"/>
      <w:r w:rsidR="004647BF" w:rsidRPr="004647BF">
        <w:rPr>
          <w:sz w:val="22"/>
          <w:szCs w:val="22"/>
        </w:rPr>
        <w:t xml:space="preserve"> was as “a standardized way for computers to understand the real world”.</w:t>
      </w:r>
      <w:r w:rsidR="004647BF">
        <w:rPr>
          <w:sz w:val="22"/>
          <w:szCs w:val="22"/>
        </w:rPr>
        <w:t xml:space="preserve"> </w:t>
      </w:r>
      <w:r w:rsidR="00675F53">
        <w:rPr>
          <w:sz w:val="22"/>
          <w:szCs w:val="22"/>
        </w:rPr>
        <w:t>Ashton</w:t>
      </w:r>
      <w:r>
        <w:rPr>
          <w:sz w:val="22"/>
          <w:szCs w:val="22"/>
        </w:rPr>
        <w:t xml:space="preserve"> was asked by P&amp;G to optimize the management of the supply-chain of Max </w:t>
      </w:r>
      <w:proofErr w:type="spellStart"/>
      <w:r>
        <w:rPr>
          <w:sz w:val="22"/>
          <w:szCs w:val="22"/>
        </w:rPr>
        <w:t>Finity</w:t>
      </w:r>
      <w:proofErr w:type="spellEnd"/>
      <w:r>
        <w:rPr>
          <w:sz w:val="22"/>
          <w:szCs w:val="22"/>
        </w:rPr>
        <w:t xml:space="preserve"> lipsticks. </w:t>
      </w:r>
      <w:r w:rsidR="004647BF">
        <w:rPr>
          <w:sz w:val="22"/>
          <w:szCs w:val="22"/>
        </w:rPr>
        <w:t xml:space="preserve">RFID-tags, a case with a chip </w:t>
      </w:r>
      <w:r w:rsidR="00F22776">
        <w:rPr>
          <w:sz w:val="22"/>
          <w:szCs w:val="22"/>
        </w:rPr>
        <w:t xml:space="preserve">containing an unique number </w:t>
      </w:r>
      <w:r w:rsidR="004647BF">
        <w:rPr>
          <w:sz w:val="22"/>
          <w:szCs w:val="22"/>
        </w:rPr>
        <w:t xml:space="preserve">and an antenna </w:t>
      </w:r>
      <w:r w:rsidR="00A43052">
        <w:rPr>
          <w:sz w:val="22"/>
          <w:szCs w:val="22"/>
        </w:rPr>
        <w:t>(</w:t>
      </w:r>
      <w:r w:rsidR="004647BF">
        <w:rPr>
          <w:sz w:val="22"/>
          <w:szCs w:val="22"/>
        </w:rPr>
        <w:t>nowadays often to be found on more expensive</w:t>
      </w:r>
      <w:r w:rsidR="0028379C">
        <w:rPr>
          <w:sz w:val="22"/>
          <w:szCs w:val="22"/>
        </w:rPr>
        <w:t>, easy to steal</w:t>
      </w:r>
      <w:r w:rsidR="004647BF">
        <w:rPr>
          <w:sz w:val="22"/>
          <w:szCs w:val="22"/>
        </w:rPr>
        <w:t xml:space="preserve"> products that you buy e.g. </w:t>
      </w:r>
      <w:proofErr w:type="spellStart"/>
      <w:r w:rsidR="004647BF">
        <w:rPr>
          <w:sz w:val="22"/>
          <w:szCs w:val="22"/>
        </w:rPr>
        <w:t>usb</w:t>
      </w:r>
      <w:proofErr w:type="spellEnd"/>
      <w:r w:rsidR="004647BF">
        <w:rPr>
          <w:sz w:val="22"/>
          <w:szCs w:val="22"/>
        </w:rPr>
        <w:t xml:space="preserve"> sticks</w:t>
      </w:r>
      <w:r w:rsidR="00A43052">
        <w:rPr>
          <w:sz w:val="22"/>
          <w:szCs w:val="22"/>
        </w:rPr>
        <w:t>)</w:t>
      </w:r>
      <w:r w:rsidR="004647BF">
        <w:rPr>
          <w:sz w:val="22"/>
          <w:szCs w:val="22"/>
        </w:rPr>
        <w:t xml:space="preserve">, were put on </w:t>
      </w:r>
      <w:r w:rsidR="00610D08">
        <w:rPr>
          <w:sz w:val="22"/>
          <w:szCs w:val="22"/>
        </w:rPr>
        <w:t>the</w:t>
      </w:r>
      <w:r w:rsidR="00F22776">
        <w:rPr>
          <w:sz w:val="22"/>
          <w:szCs w:val="22"/>
        </w:rPr>
        <w:t xml:space="preserve"> lipsticks. In the shelves where the lipsticks were located a reader, a device that sends out electromagnetic waves at a regular interval, activated the present RFID-tags </w:t>
      </w:r>
      <w:r w:rsidR="002A29F0">
        <w:rPr>
          <w:sz w:val="22"/>
          <w:szCs w:val="22"/>
        </w:rPr>
        <w:t>to transmit their unique number to the P&amp;G computer database thus enabling them to</w:t>
      </w:r>
      <w:r w:rsidR="00F22776">
        <w:rPr>
          <w:sz w:val="22"/>
          <w:szCs w:val="22"/>
        </w:rPr>
        <w:t xml:space="preserve"> manage their supply-chain </w:t>
      </w:r>
      <w:r w:rsidR="00675F53">
        <w:rPr>
          <w:sz w:val="22"/>
          <w:szCs w:val="22"/>
        </w:rPr>
        <w:t>from a</w:t>
      </w:r>
      <w:r w:rsidR="0028379C">
        <w:rPr>
          <w:sz w:val="22"/>
          <w:szCs w:val="22"/>
        </w:rPr>
        <w:t>nywhere in the world</w:t>
      </w:r>
      <w:r w:rsidR="00675F53">
        <w:rPr>
          <w:sz w:val="22"/>
          <w:szCs w:val="22"/>
        </w:rPr>
        <w:t xml:space="preserve"> and </w:t>
      </w:r>
      <w:r w:rsidR="00F22776">
        <w:rPr>
          <w:sz w:val="22"/>
          <w:szCs w:val="22"/>
        </w:rPr>
        <w:t>more accurately.</w:t>
      </w:r>
      <w:r w:rsidR="002A29F0">
        <w:rPr>
          <w:rStyle w:val="FootnoteReference"/>
          <w:sz w:val="22"/>
          <w:szCs w:val="22"/>
        </w:rPr>
        <w:footnoteReference w:id="15"/>
      </w:r>
      <w:r w:rsidR="00F22776">
        <w:rPr>
          <w:sz w:val="22"/>
          <w:szCs w:val="22"/>
        </w:rPr>
        <w:t xml:space="preserve"> When the product was bought the RFID-tag would be removed. </w:t>
      </w:r>
      <w:r w:rsidR="0034657E">
        <w:rPr>
          <w:sz w:val="22"/>
          <w:szCs w:val="22"/>
        </w:rPr>
        <w:t xml:space="preserve">But what kind of chances would arise if you would leave the tag intact? </w:t>
      </w:r>
      <w:r w:rsidR="009A3A18">
        <w:rPr>
          <w:sz w:val="22"/>
          <w:szCs w:val="22"/>
        </w:rPr>
        <w:t xml:space="preserve">In a Commission Recommendation of 2009 </w:t>
      </w:r>
      <w:r w:rsidR="00CE083C">
        <w:rPr>
          <w:sz w:val="22"/>
          <w:szCs w:val="22"/>
        </w:rPr>
        <w:t>the use of tags in</w:t>
      </w:r>
      <w:r w:rsidR="0034657E">
        <w:rPr>
          <w:sz w:val="22"/>
          <w:szCs w:val="22"/>
        </w:rPr>
        <w:t xml:space="preserve"> (household)</w:t>
      </w:r>
      <w:r w:rsidR="00CE083C">
        <w:rPr>
          <w:sz w:val="22"/>
          <w:szCs w:val="22"/>
        </w:rPr>
        <w:t xml:space="preserve"> applications is discussed and the option for the consumer to decide if they want to keep the tag operational is mentioned. </w:t>
      </w:r>
      <w:r w:rsidR="00514E76">
        <w:rPr>
          <w:sz w:val="22"/>
          <w:szCs w:val="22"/>
        </w:rPr>
        <w:lastRenderedPageBreak/>
        <w:t>This a</w:t>
      </w:r>
      <w:r w:rsidR="0034657E">
        <w:rPr>
          <w:sz w:val="22"/>
          <w:szCs w:val="22"/>
        </w:rPr>
        <w:t xml:space="preserve">pproach is also known as opt-in. In 2008 </w:t>
      </w:r>
      <w:proofErr w:type="spellStart"/>
      <w:r w:rsidR="00514E76">
        <w:rPr>
          <w:sz w:val="22"/>
          <w:szCs w:val="22"/>
        </w:rPr>
        <w:t>EPCglobal</w:t>
      </w:r>
      <w:proofErr w:type="spellEnd"/>
      <w:r w:rsidR="00514E76">
        <w:rPr>
          <w:rStyle w:val="FootnoteReference"/>
          <w:sz w:val="22"/>
          <w:szCs w:val="22"/>
        </w:rPr>
        <w:footnoteReference w:id="16"/>
      </w:r>
      <w:r w:rsidR="0034657E">
        <w:rPr>
          <w:sz w:val="22"/>
          <w:szCs w:val="22"/>
        </w:rPr>
        <w:t xml:space="preserve"> already </w:t>
      </w:r>
      <w:r w:rsidR="00514E76">
        <w:rPr>
          <w:sz w:val="22"/>
          <w:szCs w:val="22"/>
        </w:rPr>
        <w:t xml:space="preserve">spoke out against </w:t>
      </w:r>
      <w:r w:rsidR="0034657E">
        <w:rPr>
          <w:sz w:val="22"/>
          <w:szCs w:val="22"/>
        </w:rPr>
        <w:t>opt-in</w:t>
      </w:r>
      <w:r w:rsidR="00514E76">
        <w:rPr>
          <w:sz w:val="22"/>
          <w:szCs w:val="22"/>
        </w:rPr>
        <w:t xml:space="preserve"> and </w:t>
      </w:r>
      <w:r w:rsidR="00950520">
        <w:rPr>
          <w:sz w:val="22"/>
          <w:szCs w:val="22"/>
        </w:rPr>
        <w:t xml:space="preserve">proved to be a proponent of the opt-out, </w:t>
      </w:r>
      <w:r w:rsidR="002B036C">
        <w:rPr>
          <w:sz w:val="22"/>
          <w:szCs w:val="22"/>
        </w:rPr>
        <w:t xml:space="preserve">an approach in which </w:t>
      </w:r>
      <w:r w:rsidR="00950520">
        <w:rPr>
          <w:sz w:val="22"/>
          <w:szCs w:val="22"/>
        </w:rPr>
        <w:t xml:space="preserve">the tag is left intact by default unless the consumer decides otherwise. </w:t>
      </w:r>
      <w:r w:rsidR="000F0C22">
        <w:rPr>
          <w:sz w:val="22"/>
          <w:szCs w:val="22"/>
        </w:rPr>
        <w:t>It seems that the</w:t>
      </w:r>
      <w:r w:rsidR="00CE083C">
        <w:rPr>
          <w:sz w:val="22"/>
          <w:szCs w:val="22"/>
        </w:rPr>
        <w:t xml:space="preserve"> EC endorses the vision that products that are bought by a consumer, could contain a tag that is used to communicate to household-applications</w:t>
      </w:r>
      <w:r w:rsidR="00950520">
        <w:rPr>
          <w:sz w:val="22"/>
          <w:szCs w:val="22"/>
        </w:rPr>
        <w:t xml:space="preserve"> e.g.</w:t>
      </w:r>
      <w:r w:rsidR="00F86A32">
        <w:rPr>
          <w:sz w:val="22"/>
          <w:szCs w:val="22"/>
        </w:rPr>
        <w:t xml:space="preserve"> </w:t>
      </w:r>
      <w:r w:rsidR="00950520">
        <w:rPr>
          <w:sz w:val="22"/>
          <w:szCs w:val="22"/>
        </w:rPr>
        <w:t>a washing machine that communicates with the tag inside clothing to apply the appropriate program</w:t>
      </w:r>
      <w:r w:rsidR="00950520">
        <w:rPr>
          <w:rStyle w:val="FootnoteReference"/>
          <w:sz w:val="22"/>
          <w:szCs w:val="22"/>
        </w:rPr>
        <w:footnoteReference w:id="17"/>
      </w:r>
      <w:r w:rsidR="00950520">
        <w:rPr>
          <w:sz w:val="22"/>
          <w:szCs w:val="22"/>
        </w:rPr>
        <w:t xml:space="preserve"> and also </w:t>
      </w:r>
      <w:r w:rsidR="0034657E">
        <w:rPr>
          <w:sz w:val="22"/>
          <w:szCs w:val="22"/>
        </w:rPr>
        <w:t>supports the idea</w:t>
      </w:r>
      <w:r w:rsidR="00950520">
        <w:rPr>
          <w:sz w:val="22"/>
          <w:szCs w:val="22"/>
        </w:rPr>
        <w:t xml:space="preserve"> that the participation in the </w:t>
      </w:r>
      <w:proofErr w:type="spellStart"/>
      <w:r w:rsidR="00950520">
        <w:rPr>
          <w:sz w:val="22"/>
          <w:szCs w:val="22"/>
        </w:rPr>
        <w:t>IoT</w:t>
      </w:r>
      <w:proofErr w:type="spellEnd"/>
      <w:r w:rsidR="00950520">
        <w:rPr>
          <w:sz w:val="22"/>
          <w:szCs w:val="22"/>
        </w:rPr>
        <w:t xml:space="preserve"> res</w:t>
      </w:r>
      <w:r w:rsidR="0034657E">
        <w:rPr>
          <w:sz w:val="22"/>
          <w:szCs w:val="22"/>
        </w:rPr>
        <w:t>ts on a voluntary basis. T</w:t>
      </w:r>
      <w:r w:rsidR="00950520">
        <w:rPr>
          <w:sz w:val="22"/>
          <w:szCs w:val="22"/>
        </w:rPr>
        <w:t xml:space="preserve">his </w:t>
      </w:r>
      <w:r w:rsidR="0034657E">
        <w:rPr>
          <w:sz w:val="22"/>
          <w:szCs w:val="22"/>
        </w:rPr>
        <w:t>idea</w:t>
      </w:r>
      <w:r w:rsidR="00950520">
        <w:rPr>
          <w:sz w:val="22"/>
          <w:szCs w:val="22"/>
        </w:rPr>
        <w:t xml:space="preserve"> was also confirmed by the European Parliament</w:t>
      </w:r>
      <w:r w:rsidR="00CE083C">
        <w:rPr>
          <w:sz w:val="22"/>
          <w:szCs w:val="22"/>
        </w:rPr>
        <w:t>.</w:t>
      </w:r>
      <w:r w:rsidR="00950520">
        <w:rPr>
          <w:rStyle w:val="FootnoteReference"/>
          <w:sz w:val="22"/>
          <w:szCs w:val="22"/>
        </w:rPr>
        <w:footnoteReference w:id="18"/>
      </w:r>
      <w:r w:rsidR="0034657E">
        <w:rPr>
          <w:sz w:val="22"/>
          <w:szCs w:val="22"/>
        </w:rPr>
        <w:t xml:space="preserve"> In the EU policy it is not just the home that the </w:t>
      </w:r>
      <w:proofErr w:type="spellStart"/>
      <w:r w:rsidR="0034657E">
        <w:rPr>
          <w:sz w:val="22"/>
          <w:szCs w:val="22"/>
        </w:rPr>
        <w:t>IoT</w:t>
      </w:r>
      <w:proofErr w:type="spellEnd"/>
      <w:r w:rsidR="0034657E">
        <w:rPr>
          <w:sz w:val="22"/>
          <w:szCs w:val="22"/>
        </w:rPr>
        <w:t xml:space="preserve"> will enter.</w:t>
      </w:r>
      <w:r w:rsidR="00CE083C">
        <w:rPr>
          <w:sz w:val="22"/>
          <w:szCs w:val="22"/>
        </w:rPr>
        <w:t xml:space="preserve"> </w:t>
      </w:r>
      <w:r w:rsidR="00A65F64">
        <w:rPr>
          <w:sz w:val="22"/>
          <w:szCs w:val="22"/>
        </w:rPr>
        <w:t>In</w:t>
      </w:r>
      <w:r w:rsidR="002B036C">
        <w:rPr>
          <w:sz w:val="22"/>
          <w:szCs w:val="22"/>
        </w:rPr>
        <w:t xml:space="preserve"> later</w:t>
      </w:r>
      <w:r w:rsidR="00A65F64">
        <w:rPr>
          <w:sz w:val="22"/>
          <w:szCs w:val="22"/>
        </w:rPr>
        <w:t xml:space="preserve"> EU documents the</w:t>
      </w:r>
      <w:r w:rsidR="002B036C">
        <w:rPr>
          <w:sz w:val="22"/>
          <w:szCs w:val="22"/>
        </w:rPr>
        <w:t xml:space="preserve"> implementation of the</w:t>
      </w:r>
      <w:r w:rsidR="00A65F64">
        <w:rPr>
          <w:sz w:val="22"/>
          <w:szCs w:val="22"/>
        </w:rPr>
        <w:t xml:space="preserve"> </w:t>
      </w:r>
      <w:proofErr w:type="spellStart"/>
      <w:r w:rsidR="00A65F64">
        <w:rPr>
          <w:sz w:val="22"/>
          <w:szCs w:val="22"/>
        </w:rPr>
        <w:t>IoT</w:t>
      </w:r>
      <w:proofErr w:type="spellEnd"/>
      <w:r w:rsidR="00A65F64">
        <w:rPr>
          <w:sz w:val="22"/>
          <w:szCs w:val="22"/>
        </w:rPr>
        <w:t xml:space="preserve"> </w:t>
      </w:r>
      <w:r w:rsidR="002B036C">
        <w:rPr>
          <w:sz w:val="22"/>
          <w:szCs w:val="22"/>
        </w:rPr>
        <w:t>ranges</w:t>
      </w:r>
      <w:r w:rsidR="00A65F64">
        <w:rPr>
          <w:sz w:val="22"/>
          <w:szCs w:val="22"/>
        </w:rPr>
        <w:t xml:space="preserve"> 18 domains in society</w:t>
      </w:r>
      <w:r w:rsidR="002B036C">
        <w:rPr>
          <w:sz w:val="22"/>
          <w:szCs w:val="22"/>
        </w:rPr>
        <w:t>,</w:t>
      </w:r>
      <w:r w:rsidR="00F86A32">
        <w:rPr>
          <w:sz w:val="22"/>
          <w:szCs w:val="22"/>
        </w:rPr>
        <w:t xml:space="preserve"> </w:t>
      </w:r>
      <w:r w:rsidR="00A65F64">
        <w:rPr>
          <w:sz w:val="22"/>
          <w:szCs w:val="22"/>
        </w:rPr>
        <w:t xml:space="preserve">from automotive to </w:t>
      </w:r>
      <w:r w:rsidR="000505A9">
        <w:rPr>
          <w:sz w:val="22"/>
          <w:szCs w:val="22"/>
        </w:rPr>
        <w:t>medicine.</w:t>
      </w:r>
    </w:p>
    <w:p w:rsidR="00AF590B" w:rsidRDefault="003B4CC3">
      <w:pPr>
        <w:pStyle w:val="Heading3"/>
        <w:numPr>
          <w:ilvl w:val="1"/>
          <w:numId w:val="13"/>
        </w:numPr>
        <w:rPr>
          <w:lang w:val="en-US"/>
        </w:rPr>
      </w:pPr>
      <w:bookmarkStart w:id="8" w:name="_Toc346967725"/>
      <w:bookmarkStart w:id="9" w:name="_Toc347068600"/>
      <w:bookmarkStart w:id="10" w:name="_Toc347145355"/>
      <w:r>
        <w:rPr>
          <w:lang w:val="en-US"/>
        </w:rPr>
        <w:t>Funding</w:t>
      </w:r>
      <w:r w:rsidR="00CD07AD">
        <w:rPr>
          <w:lang w:val="en-US"/>
        </w:rPr>
        <w:t xml:space="preserve"> </w:t>
      </w:r>
      <w:bookmarkEnd w:id="8"/>
      <w:bookmarkEnd w:id="9"/>
      <w:r w:rsidR="00E232BA">
        <w:rPr>
          <w:lang w:val="en-US"/>
        </w:rPr>
        <w:t>the Internet of Things</w:t>
      </w:r>
      <w:bookmarkEnd w:id="10"/>
    </w:p>
    <w:p w:rsidR="00D156B3" w:rsidRPr="00B86F6E" w:rsidRDefault="00496B6F" w:rsidP="00D156B3">
      <w:pPr>
        <w:rPr>
          <w:lang w:val="en-US"/>
        </w:rPr>
      </w:pPr>
      <w:r>
        <w:rPr>
          <w:lang w:val="en-US"/>
        </w:rPr>
        <w:t xml:space="preserve">One of the ways through which the EU is actively contributing to the emergence of the </w:t>
      </w:r>
      <w:proofErr w:type="spellStart"/>
      <w:r>
        <w:rPr>
          <w:lang w:val="en-US"/>
        </w:rPr>
        <w:t>IoT</w:t>
      </w:r>
      <w:proofErr w:type="spellEnd"/>
      <w:r>
        <w:rPr>
          <w:lang w:val="en-US"/>
        </w:rPr>
        <w:t xml:space="preserve"> is through </w:t>
      </w:r>
      <w:r w:rsidR="00C529E3">
        <w:rPr>
          <w:lang w:val="en-US"/>
        </w:rPr>
        <w:t>funding</w:t>
      </w:r>
      <w:r>
        <w:rPr>
          <w:lang w:val="en-US"/>
        </w:rPr>
        <w:t xml:space="preserve">. Some </w:t>
      </w:r>
      <w:r w:rsidR="009D4B6E">
        <w:rPr>
          <w:lang w:val="en-US"/>
        </w:rPr>
        <w:t xml:space="preserve">initiatives </w:t>
      </w:r>
      <w:r>
        <w:rPr>
          <w:lang w:val="en-US"/>
        </w:rPr>
        <w:t>are easy to categorize in “</w:t>
      </w:r>
      <w:proofErr w:type="spellStart"/>
      <w:r>
        <w:rPr>
          <w:lang w:val="en-US"/>
        </w:rPr>
        <w:t>IoT</w:t>
      </w:r>
      <w:proofErr w:type="spellEnd"/>
      <w:r>
        <w:rPr>
          <w:lang w:val="en-US"/>
        </w:rPr>
        <w:t>-</w:t>
      </w:r>
      <w:r w:rsidR="00C529E3">
        <w:rPr>
          <w:lang w:val="en-US"/>
        </w:rPr>
        <w:t>funding</w:t>
      </w:r>
      <w:r>
        <w:rPr>
          <w:lang w:val="en-US"/>
        </w:rPr>
        <w:t xml:space="preserve">”, others are less directly linked, but inevitably </w:t>
      </w:r>
      <w:r w:rsidR="009D4B6E">
        <w:rPr>
          <w:lang w:val="en-US"/>
        </w:rPr>
        <w:t xml:space="preserve">will </w:t>
      </w:r>
      <w:r>
        <w:rPr>
          <w:lang w:val="en-US"/>
        </w:rPr>
        <w:t xml:space="preserve">contribute to the </w:t>
      </w:r>
      <w:proofErr w:type="spellStart"/>
      <w:r>
        <w:rPr>
          <w:lang w:val="en-US"/>
        </w:rPr>
        <w:t>IoT</w:t>
      </w:r>
      <w:proofErr w:type="spellEnd"/>
      <w:r>
        <w:rPr>
          <w:lang w:val="en-US"/>
        </w:rPr>
        <w:t xml:space="preserve"> </w:t>
      </w:r>
      <w:r w:rsidR="00227F7F">
        <w:rPr>
          <w:lang w:val="en-US"/>
        </w:rPr>
        <w:t>and subsequently the surveillance apparatus in the EU</w:t>
      </w:r>
      <w:r>
        <w:rPr>
          <w:lang w:val="en-US"/>
        </w:rPr>
        <w:t xml:space="preserve">. </w:t>
      </w:r>
      <w:r w:rsidR="000505A9">
        <w:rPr>
          <w:lang w:val="en-US"/>
        </w:rPr>
        <w:t xml:space="preserve">One of the main programs for funding is the </w:t>
      </w:r>
      <w:r w:rsidR="00253812">
        <w:rPr>
          <w:lang w:val="en-US"/>
        </w:rPr>
        <w:t xml:space="preserve">Seventh Framework </w:t>
      </w:r>
      <w:proofErr w:type="spellStart"/>
      <w:r w:rsidR="00253812">
        <w:rPr>
          <w:lang w:val="en-US"/>
        </w:rPr>
        <w:t>Programme</w:t>
      </w:r>
      <w:proofErr w:type="spellEnd"/>
      <w:r w:rsidR="00970D4C">
        <w:rPr>
          <w:lang w:val="en-US"/>
        </w:rPr>
        <w:t xml:space="preserve"> (hereafter FP7)</w:t>
      </w:r>
      <w:r w:rsidR="000505A9">
        <w:rPr>
          <w:lang w:val="en-US"/>
        </w:rPr>
        <w:t xml:space="preserve">. In Viviane </w:t>
      </w:r>
      <w:proofErr w:type="spellStart"/>
      <w:r w:rsidR="000505A9">
        <w:rPr>
          <w:lang w:val="en-US"/>
        </w:rPr>
        <w:t>Reding</w:t>
      </w:r>
      <w:proofErr w:type="spellEnd"/>
      <w:r w:rsidR="000505A9">
        <w:rPr>
          <w:lang w:val="en-US"/>
        </w:rPr>
        <w:t xml:space="preserve"> her speech in 2006 about the European policy on RFID, she referred to FP7</w:t>
      </w:r>
      <w:r w:rsidR="00253812">
        <w:rPr>
          <w:lang w:val="en-US"/>
        </w:rPr>
        <w:t xml:space="preserve"> and how this program is supposed to foster collaborative research on RFID. </w:t>
      </w:r>
      <w:r w:rsidR="003530A3">
        <w:rPr>
          <w:lang w:val="en-US"/>
        </w:rPr>
        <w:t>FP7</w:t>
      </w:r>
      <w:r w:rsidR="003530A3" w:rsidRPr="00B86F6E">
        <w:rPr>
          <w:lang w:val="en-US"/>
        </w:rPr>
        <w:t xml:space="preserve"> fits the ambition of the EU to become </w:t>
      </w:r>
      <w:r w:rsidR="003530A3" w:rsidRPr="007A2589">
        <w:rPr>
          <w:lang w:val="en-US"/>
        </w:rPr>
        <w:t>“the most dynamic competitive knowledge-based economy in the world”</w:t>
      </w:r>
      <w:r w:rsidR="003530A3" w:rsidRPr="007A2589">
        <w:rPr>
          <w:rStyle w:val="FootnoteReference"/>
        </w:rPr>
        <w:footnoteReference w:id="19"/>
      </w:r>
      <w:r w:rsidR="003530A3" w:rsidRPr="007A2589">
        <w:rPr>
          <w:lang w:val="en-US"/>
        </w:rPr>
        <w:t xml:space="preserve">. </w:t>
      </w:r>
      <w:r w:rsidR="003530A3">
        <w:rPr>
          <w:lang w:val="en-US"/>
        </w:rPr>
        <w:t>It</w:t>
      </w:r>
      <w:r w:rsidR="003530A3" w:rsidRPr="00B86F6E">
        <w:rPr>
          <w:lang w:val="en-US"/>
        </w:rPr>
        <w:t xml:space="preserve"> </w:t>
      </w:r>
      <w:r w:rsidR="00BF6A1E">
        <w:rPr>
          <w:lang w:val="en-US"/>
        </w:rPr>
        <w:t xml:space="preserve">has a budget </w:t>
      </w:r>
      <w:r w:rsidR="003530A3">
        <w:rPr>
          <w:lang w:val="en-US"/>
        </w:rPr>
        <w:t>of</w:t>
      </w:r>
      <w:r w:rsidR="003530A3" w:rsidRPr="00B86F6E">
        <w:rPr>
          <w:lang w:val="en-US"/>
        </w:rPr>
        <w:t xml:space="preserve"> €53.2 billion for 2007-2013 (€7.6 billion a year). Commissioner </w:t>
      </w:r>
      <w:proofErr w:type="spellStart"/>
      <w:r w:rsidR="003530A3" w:rsidRPr="00B86F6E">
        <w:rPr>
          <w:lang w:val="en-US"/>
        </w:rPr>
        <w:t>Máire</w:t>
      </w:r>
      <w:proofErr w:type="spellEnd"/>
      <w:r w:rsidR="003530A3" w:rsidRPr="00B86F6E">
        <w:rPr>
          <w:lang w:val="en-US"/>
        </w:rPr>
        <w:t xml:space="preserve"> </w:t>
      </w:r>
      <w:proofErr w:type="spellStart"/>
      <w:r w:rsidR="003530A3" w:rsidRPr="00B86F6E">
        <w:rPr>
          <w:lang w:val="en-US"/>
        </w:rPr>
        <w:t>Geoghegan</w:t>
      </w:r>
      <w:proofErr w:type="spellEnd"/>
      <w:r w:rsidR="003530A3" w:rsidRPr="00B86F6E">
        <w:rPr>
          <w:lang w:val="en-US"/>
        </w:rPr>
        <w:t xml:space="preserve">-Quinn </w:t>
      </w:r>
      <w:r w:rsidR="003530A3">
        <w:rPr>
          <w:lang w:val="en-US"/>
        </w:rPr>
        <w:t>also recently</w:t>
      </w:r>
      <w:r w:rsidR="003530A3" w:rsidRPr="00B86F6E">
        <w:rPr>
          <w:lang w:val="en-US"/>
        </w:rPr>
        <w:t xml:space="preserve"> announced an €80 billion package for</w:t>
      </w:r>
      <w:r w:rsidR="003530A3">
        <w:rPr>
          <w:lang w:val="en-US"/>
        </w:rPr>
        <w:t xml:space="preserve"> FP8</w:t>
      </w:r>
      <w:r w:rsidR="003530A3" w:rsidRPr="00B86F6E">
        <w:rPr>
          <w:lang w:val="en-US"/>
        </w:rPr>
        <w:t xml:space="preserve"> 2014-2020 (approximately €11.4 billion a year).</w:t>
      </w:r>
      <w:r w:rsidR="003530A3">
        <w:rPr>
          <w:rStyle w:val="FootnoteReference"/>
          <w:lang w:val="en-US"/>
        </w:rPr>
        <w:footnoteReference w:id="20"/>
      </w:r>
      <w:r w:rsidR="003530A3" w:rsidRPr="00B86F6E">
        <w:rPr>
          <w:lang w:val="en-US"/>
        </w:rPr>
        <w:t xml:space="preserve"> </w:t>
      </w:r>
      <w:r w:rsidR="003530A3">
        <w:rPr>
          <w:lang w:val="en-US"/>
        </w:rPr>
        <w:t xml:space="preserve">This is a significant increase compared to the FP6 budget of approximately </w:t>
      </w:r>
      <w:r w:rsidR="003530A3" w:rsidRPr="00B86F6E">
        <w:rPr>
          <w:lang w:val="en-US"/>
        </w:rPr>
        <w:t>€</w:t>
      </w:r>
      <w:r w:rsidR="003530A3">
        <w:rPr>
          <w:lang w:val="en-US"/>
        </w:rPr>
        <w:t xml:space="preserve">3.6 billion a year. </w:t>
      </w:r>
      <w:r w:rsidR="00D156B3" w:rsidRPr="00B86F6E">
        <w:rPr>
          <w:lang w:val="en-US"/>
        </w:rPr>
        <w:t>Th</w:t>
      </w:r>
      <w:r w:rsidR="00970D4C">
        <w:rPr>
          <w:lang w:val="en-US"/>
        </w:rPr>
        <w:t xml:space="preserve">e ambitions of FP7 are </w:t>
      </w:r>
      <w:r w:rsidR="00C529E3">
        <w:rPr>
          <w:lang w:val="en-US"/>
        </w:rPr>
        <w:t>broad. This</w:t>
      </w:r>
      <w:r w:rsidR="00D156B3" w:rsidRPr="00B86F6E">
        <w:rPr>
          <w:lang w:val="en-US"/>
        </w:rPr>
        <w:t xml:space="preserve"> seven-year program </w:t>
      </w:r>
      <w:r w:rsidR="00407E48">
        <w:rPr>
          <w:lang w:val="en-US"/>
        </w:rPr>
        <w:t xml:space="preserve">has </w:t>
      </w:r>
      <w:r w:rsidR="00D156B3">
        <w:rPr>
          <w:lang w:val="en-US"/>
        </w:rPr>
        <w:t>two</w:t>
      </w:r>
      <w:r w:rsidR="00D156B3" w:rsidRPr="00B86F6E">
        <w:rPr>
          <w:lang w:val="en-US"/>
        </w:rPr>
        <w:t xml:space="preserve"> main objectives:</w:t>
      </w:r>
    </w:p>
    <w:p w:rsidR="00D156B3" w:rsidRPr="00B86F6E" w:rsidRDefault="00D156B3" w:rsidP="00D156B3">
      <w:pPr>
        <w:numPr>
          <w:ilvl w:val="0"/>
          <w:numId w:val="1"/>
        </w:numPr>
        <w:rPr>
          <w:i/>
          <w:lang w:val="en-US"/>
        </w:rPr>
      </w:pPr>
      <w:r w:rsidRPr="00B86F6E">
        <w:rPr>
          <w:i/>
          <w:lang w:val="en-US"/>
        </w:rPr>
        <w:t>“to strengthen the scientific and technological base of European industry;</w:t>
      </w:r>
    </w:p>
    <w:p w:rsidR="00D156B3" w:rsidRPr="00B86F6E" w:rsidRDefault="00D156B3" w:rsidP="00D156B3">
      <w:pPr>
        <w:numPr>
          <w:ilvl w:val="0"/>
          <w:numId w:val="1"/>
        </w:numPr>
        <w:rPr>
          <w:i/>
          <w:lang w:val="en-US"/>
        </w:rPr>
      </w:pPr>
      <w:r w:rsidRPr="00B86F6E">
        <w:rPr>
          <w:i/>
          <w:lang w:val="en-US"/>
        </w:rPr>
        <w:t>to encourage its international competitiveness, while promoting research that supports EU policies.”</w:t>
      </w:r>
      <w:r>
        <w:rPr>
          <w:rStyle w:val="FootnoteReference"/>
          <w:i/>
        </w:rPr>
        <w:footnoteReference w:id="21"/>
      </w:r>
    </w:p>
    <w:p w:rsidR="00B538C7" w:rsidRDefault="00D156B3" w:rsidP="00D156B3">
      <w:pPr>
        <w:rPr>
          <w:lang w:val="en-US"/>
        </w:rPr>
      </w:pPr>
      <w:r w:rsidRPr="00B86F6E">
        <w:rPr>
          <w:lang w:val="en-US"/>
        </w:rPr>
        <w:t xml:space="preserve">The ten key thematic areas </w:t>
      </w:r>
      <w:r w:rsidR="009C6A43">
        <w:rPr>
          <w:lang w:val="en-US"/>
        </w:rPr>
        <w:t>of FP</w:t>
      </w:r>
      <w:r w:rsidR="009D4B6E">
        <w:rPr>
          <w:lang w:val="en-US"/>
        </w:rPr>
        <w:t>7</w:t>
      </w:r>
      <w:r w:rsidR="009C6A43">
        <w:rPr>
          <w:lang w:val="en-US"/>
        </w:rPr>
        <w:t xml:space="preserve"> </w:t>
      </w:r>
      <w:r w:rsidRPr="00B86F6E">
        <w:rPr>
          <w:lang w:val="en-US"/>
        </w:rPr>
        <w:t xml:space="preserve">coincide almost completely with the application domains of the </w:t>
      </w:r>
      <w:proofErr w:type="spellStart"/>
      <w:r w:rsidRPr="00B86F6E">
        <w:rPr>
          <w:lang w:val="en-US"/>
        </w:rPr>
        <w:t>IoT</w:t>
      </w:r>
      <w:proofErr w:type="spellEnd"/>
      <w:r w:rsidRPr="00B86F6E">
        <w:rPr>
          <w:lang w:val="en-US"/>
        </w:rPr>
        <w:t xml:space="preserve"> as mentioned in the </w:t>
      </w:r>
      <w:r w:rsidR="00C529E3">
        <w:rPr>
          <w:lang w:val="en-US"/>
        </w:rPr>
        <w:t xml:space="preserve">report of the </w:t>
      </w:r>
      <w:r w:rsidRPr="00B86F6E">
        <w:rPr>
          <w:lang w:val="en-US"/>
        </w:rPr>
        <w:t>C</w:t>
      </w:r>
      <w:r w:rsidR="00C529E3">
        <w:rPr>
          <w:lang w:val="en-US"/>
        </w:rPr>
        <w:t>luster of European Research Projects</w:t>
      </w:r>
      <w:r w:rsidR="000E031C">
        <w:rPr>
          <w:lang w:val="en-US"/>
        </w:rPr>
        <w:t>:</w:t>
      </w:r>
      <w:r w:rsidR="000E031C">
        <w:rPr>
          <w:rStyle w:val="FootnoteReference"/>
          <w:lang w:val="en-US"/>
        </w:rPr>
        <w:footnoteReference w:id="2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4644"/>
      </w:tblGrid>
      <w:tr w:rsidR="00B538C7" w:rsidRPr="002639E3" w:rsidTr="00AC42CC">
        <w:tc>
          <w:tcPr>
            <w:tcW w:w="4644" w:type="dxa"/>
          </w:tcPr>
          <w:p w:rsidR="00B538C7" w:rsidRPr="00AC42CC" w:rsidRDefault="00B538C7" w:rsidP="00D156B3">
            <w:pPr>
              <w:rPr>
                <w:b/>
                <w:lang w:val="en-US"/>
              </w:rPr>
            </w:pPr>
            <w:r w:rsidRPr="00AC42CC">
              <w:rPr>
                <w:b/>
                <w:lang w:val="en-US"/>
              </w:rPr>
              <w:t>SEVENTH FRAMEWORK PROGRAMME</w:t>
            </w:r>
          </w:p>
        </w:tc>
        <w:tc>
          <w:tcPr>
            <w:tcW w:w="4644" w:type="dxa"/>
          </w:tcPr>
          <w:p w:rsidR="00B538C7" w:rsidRPr="00AC42CC" w:rsidRDefault="00B538C7" w:rsidP="00D156B3">
            <w:pPr>
              <w:rPr>
                <w:b/>
                <w:lang w:val="en-US"/>
              </w:rPr>
            </w:pPr>
            <w:r w:rsidRPr="00AC42CC">
              <w:rPr>
                <w:b/>
                <w:lang w:val="en-US"/>
              </w:rPr>
              <w:t>CLUSTER OF EUROPEAN RESEARCH PROJECTS IOT</w:t>
            </w:r>
          </w:p>
        </w:tc>
      </w:tr>
      <w:tr w:rsidR="00B538C7" w:rsidRPr="00AC42CC" w:rsidTr="00AC42CC">
        <w:tc>
          <w:tcPr>
            <w:tcW w:w="4644" w:type="dxa"/>
          </w:tcPr>
          <w:p w:rsidR="00B538C7" w:rsidRPr="00AC42CC" w:rsidRDefault="00B538C7" w:rsidP="00D156B3">
            <w:pPr>
              <w:rPr>
                <w:lang w:val="en-US"/>
              </w:rPr>
            </w:pPr>
            <w:r w:rsidRPr="00AC42CC">
              <w:rPr>
                <w:lang w:val="en-US"/>
              </w:rPr>
              <w:t>Health</w:t>
            </w:r>
          </w:p>
        </w:tc>
        <w:tc>
          <w:tcPr>
            <w:tcW w:w="4644" w:type="dxa"/>
          </w:tcPr>
          <w:p w:rsidR="00B538C7" w:rsidRPr="00AC42CC" w:rsidRDefault="00B538C7" w:rsidP="009758FE">
            <w:pPr>
              <w:rPr>
                <w:lang w:val="en-US"/>
              </w:rPr>
            </w:pPr>
            <w:r w:rsidRPr="00AC42CC">
              <w:rPr>
                <w:lang w:val="en-US"/>
              </w:rPr>
              <w:t xml:space="preserve">Medical Technology, Healthcare </w:t>
            </w:r>
            <w:r w:rsidR="009758FE" w:rsidRPr="00AC42CC">
              <w:rPr>
                <w:lang w:val="en-US"/>
              </w:rPr>
              <w:t>+</w:t>
            </w:r>
            <w:r w:rsidRPr="00AC42CC">
              <w:rPr>
                <w:lang w:val="en-US"/>
              </w:rPr>
              <w:t xml:space="preserve"> Pharmaceutical </w:t>
            </w:r>
          </w:p>
        </w:tc>
      </w:tr>
      <w:tr w:rsidR="00B538C7" w:rsidRPr="002639E3" w:rsidTr="00AC42CC">
        <w:tc>
          <w:tcPr>
            <w:tcW w:w="4644" w:type="dxa"/>
          </w:tcPr>
          <w:p w:rsidR="00B538C7" w:rsidRPr="00AC42CC" w:rsidRDefault="00B538C7" w:rsidP="00D156B3">
            <w:pPr>
              <w:rPr>
                <w:lang w:val="en-US"/>
              </w:rPr>
            </w:pPr>
            <w:r w:rsidRPr="00AC42CC">
              <w:rPr>
                <w:lang w:val="en-US"/>
              </w:rPr>
              <w:t xml:space="preserve">Food, agriculture and fisheries, and </w:t>
            </w:r>
            <w:r w:rsidRPr="00AC42CC">
              <w:rPr>
                <w:lang w:val="en-US"/>
              </w:rPr>
              <w:lastRenderedPageBreak/>
              <w:t>biotechnology</w:t>
            </w:r>
          </w:p>
        </w:tc>
        <w:tc>
          <w:tcPr>
            <w:tcW w:w="4644" w:type="dxa"/>
          </w:tcPr>
          <w:p w:rsidR="00B538C7" w:rsidRPr="00AC42CC" w:rsidRDefault="00B538C7" w:rsidP="009758FE">
            <w:pPr>
              <w:rPr>
                <w:lang w:val="en-US"/>
              </w:rPr>
            </w:pPr>
            <w:r w:rsidRPr="00AC42CC">
              <w:rPr>
                <w:lang w:val="en-US"/>
              </w:rPr>
              <w:lastRenderedPageBreak/>
              <w:t xml:space="preserve">Food traceability </w:t>
            </w:r>
            <w:r w:rsidR="009758FE" w:rsidRPr="00AC42CC">
              <w:rPr>
                <w:lang w:val="en-US"/>
              </w:rPr>
              <w:t>+</w:t>
            </w:r>
            <w:r w:rsidRPr="00AC42CC">
              <w:rPr>
                <w:lang w:val="en-US"/>
              </w:rPr>
              <w:t xml:space="preserve"> Agriculture and Breeding</w:t>
            </w:r>
          </w:p>
        </w:tc>
      </w:tr>
      <w:tr w:rsidR="00B538C7" w:rsidRPr="00AC42CC" w:rsidTr="00AC42CC">
        <w:tc>
          <w:tcPr>
            <w:tcW w:w="4644" w:type="dxa"/>
          </w:tcPr>
          <w:p w:rsidR="00B538C7" w:rsidRPr="00AC42CC" w:rsidRDefault="00B538C7" w:rsidP="00D156B3">
            <w:pPr>
              <w:rPr>
                <w:lang w:val="en-US"/>
              </w:rPr>
            </w:pPr>
            <w:r w:rsidRPr="00AC42CC">
              <w:rPr>
                <w:lang w:val="en-US"/>
              </w:rPr>
              <w:lastRenderedPageBreak/>
              <w:t>Information and communication technologies</w:t>
            </w:r>
          </w:p>
        </w:tc>
        <w:tc>
          <w:tcPr>
            <w:tcW w:w="4644" w:type="dxa"/>
          </w:tcPr>
          <w:p w:rsidR="00B538C7" w:rsidRPr="00AC42CC" w:rsidRDefault="00B538C7" w:rsidP="00D156B3">
            <w:pPr>
              <w:rPr>
                <w:lang w:val="en-US"/>
              </w:rPr>
            </w:pPr>
            <w:r w:rsidRPr="00AC42CC">
              <w:rPr>
                <w:lang w:val="en-US"/>
              </w:rPr>
              <w:t>Telecommunication</w:t>
            </w:r>
          </w:p>
        </w:tc>
      </w:tr>
      <w:tr w:rsidR="00B538C7" w:rsidRPr="00AC42CC" w:rsidTr="00AC42CC">
        <w:tc>
          <w:tcPr>
            <w:tcW w:w="4644" w:type="dxa"/>
          </w:tcPr>
          <w:p w:rsidR="00B538C7" w:rsidRPr="00AC42CC" w:rsidRDefault="00B538C7" w:rsidP="00D156B3">
            <w:pPr>
              <w:rPr>
                <w:lang w:val="en-US"/>
              </w:rPr>
            </w:pPr>
            <w:proofErr w:type="spellStart"/>
            <w:r w:rsidRPr="00AC42CC">
              <w:rPr>
                <w:lang w:val="en-US"/>
              </w:rPr>
              <w:t>Nanosciences</w:t>
            </w:r>
            <w:proofErr w:type="spellEnd"/>
            <w:r w:rsidRPr="00AC42CC">
              <w:rPr>
                <w:lang w:val="en-US"/>
              </w:rPr>
              <w:t>, nanotechnologies, materials and new production technologies</w:t>
            </w:r>
          </w:p>
        </w:tc>
        <w:tc>
          <w:tcPr>
            <w:tcW w:w="4644" w:type="dxa"/>
          </w:tcPr>
          <w:p w:rsidR="00B538C7" w:rsidRPr="00AC42CC" w:rsidRDefault="00B538C7" w:rsidP="00D156B3">
            <w:pPr>
              <w:rPr>
                <w:lang w:val="en-US"/>
              </w:rPr>
            </w:pPr>
            <w:r w:rsidRPr="00AC42CC">
              <w:rPr>
                <w:lang w:val="en-US"/>
              </w:rPr>
              <w:t>Manufacturing, Product Lifecycle Management</w:t>
            </w:r>
          </w:p>
        </w:tc>
      </w:tr>
      <w:tr w:rsidR="00B538C7" w:rsidRPr="00AC42CC" w:rsidTr="00AC42CC">
        <w:tc>
          <w:tcPr>
            <w:tcW w:w="4644" w:type="dxa"/>
          </w:tcPr>
          <w:p w:rsidR="00B538C7" w:rsidRPr="00AC42CC" w:rsidRDefault="00B538C7" w:rsidP="00D156B3">
            <w:pPr>
              <w:rPr>
                <w:lang w:val="en-US"/>
              </w:rPr>
            </w:pPr>
            <w:r w:rsidRPr="00AC42CC">
              <w:rPr>
                <w:lang w:val="en-US"/>
              </w:rPr>
              <w:t>Energy</w:t>
            </w:r>
          </w:p>
        </w:tc>
        <w:tc>
          <w:tcPr>
            <w:tcW w:w="4644" w:type="dxa"/>
          </w:tcPr>
          <w:p w:rsidR="00B538C7" w:rsidRPr="00AC42CC" w:rsidRDefault="00B538C7" w:rsidP="00D156B3">
            <w:pPr>
              <w:rPr>
                <w:lang w:val="en-US"/>
              </w:rPr>
            </w:pPr>
            <w:r w:rsidRPr="00AC42CC">
              <w:rPr>
                <w:lang w:val="en-US"/>
              </w:rPr>
              <w:t>Oil and Gas</w:t>
            </w:r>
          </w:p>
        </w:tc>
      </w:tr>
      <w:tr w:rsidR="00B538C7" w:rsidRPr="00AC42CC" w:rsidTr="00AC42CC">
        <w:tc>
          <w:tcPr>
            <w:tcW w:w="4644" w:type="dxa"/>
          </w:tcPr>
          <w:p w:rsidR="00B538C7" w:rsidRPr="00AC42CC" w:rsidRDefault="009305CB" w:rsidP="00D156B3">
            <w:pPr>
              <w:rPr>
                <w:lang w:val="en-US"/>
              </w:rPr>
            </w:pPr>
            <w:r w:rsidRPr="00AC42CC">
              <w:rPr>
                <w:lang w:val="en-US"/>
              </w:rPr>
              <w:t>Environment (including climate change)</w:t>
            </w:r>
          </w:p>
        </w:tc>
        <w:tc>
          <w:tcPr>
            <w:tcW w:w="4644" w:type="dxa"/>
          </w:tcPr>
          <w:p w:rsidR="00B538C7" w:rsidRPr="00AC42CC" w:rsidRDefault="009305CB" w:rsidP="00D156B3">
            <w:pPr>
              <w:rPr>
                <w:lang w:val="en-US"/>
              </w:rPr>
            </w:pPr>
            <w:r w:rsidRPr="00AC42CC">
              <w:rPr>
                <w:lang w:val="en-US"/>
              </w:rPr>
              <w:t>Environment Monitoring</w:t>
            </w:r>
          </w:p>
        </w:tc>
      </w:tr>
      <w:tr w:rsidR="00B538C7" w:rsidRPr="002639E3" w:rsidTr="00AC42CC">
        <w:tc>
          <w:tcPr>
            <w:tcW w:w="4644" w:type="dxa"/>
          </w:tcPr>
          <w:p w:rsidR="00B538C7" w:rsidRPr="00AC42CC" w:rsidRDefault="009305CB" w:rsidP="00D156B3">
            <w:pPr>
              <w:rPr>
                <w:lang w:val="en-US"/>
              </w:rPr>
            </w:pPr>
            <w:r w:rsidRPr="00AC42CC">
              <w:rPr>
                <w:lang w:val="en-US"/>
              </w:rPr>
              <w:t>Transport (including aeronautics)</w:t>
            </w:r>
          </w:p>
        </w:tc>
        <w:tc>
          <w:tcPr>
            <w:tcW w:w="4644" w:type="dxa"/>
          </w:tcPr>
          <w:p w:rsidR="00B538C7" w:rsidRPr="00AC42CC" w:rsidRDefault="009305CB" w:rsidP="009758FE">
            <w:pPr>
              <w:rPr>
                <w:lang w:val="en-US"/>
              </w:rPr>
            </w:pPr>
            <w:r w:rsidRPr="00AC42CC">
              <w:rPr>
                <w:lang w:val="en-US"/>
              </w:rPr>
              <w:t xml:space="preserve">People and Goods Transportation </w:t>
            </w:r>
            <w:r w:rsidR="009758FE" w:rsidRPr="00AC42CC">
              <w:rPr>
                <w:lang w:val="en-US"/>
              </w:rPr>
              <w:t>+ Automotive +</w:t>
            </w:r>
            <w:r w:rsidRPr="00AC42CC">
              <w:rPr>
                <w:lang w:val="en-US"/>
              </w:rPr>
              <w:t xml:space="preserve"> Retail, Logistics, Supply Chain Management </w:t>
            </w:r>
            <w:r w:rsidR="009758FE" w:rsidRPr="00AC42CC">
              <w:rPr>
                <w:lang w:val="en-US"/>
              </w:rPr>
              <w:t>+</w:t>
            </w:r>
            <w:r w:rsidRPr="00AC42CC">
              <w:rPr>
                <w:lang w:val="en-US"/>
              </w:rPr>
              <w:t xml:space="preserve"> </w:t>
            </w:r>
            <w:r w:rsidR="001A628F" w:rsidRPr="00AC42CC">
              <w:rPr>
                <w:lang w:val="en-US"/>
              </w:rPr>
              <w:t>Aerospace and aviation</w:t>
            </w:r>
          </w:p>
        </w:tc>
      </w:tr>
      <w:tr w:rsidR="00B538C7" w:rsidRPr="00AC42CC" w:rsidTr="00AC42CC">
        <w:tc>
          <w:tcPr>
            <w:tcW w:w="4644" w:type="dxa"/>
          </w:tcPr>
          <w:p w:rsidR="00B538C7" w:rsidRPr="00AC42CC" w:rsidRDefault="001A628F" w:rsidP="00D156B3">
            <w:pPr>
              <w:rPr>
                <w:lang w:val="en-US"/>
              </w:rPr>
            </w:pPr>
            <w:r w:rsidRPr="00AC42CC">
              <w:rPr>
                <w:lang w:val="en-US"/>
              </w:rPr>
              <w:t>Socio-economic sciences and the humanities</w:t>
            </w:r>
            <w:r w:rsidR="009758FE" w:rsidRPr="00AC42CC">
              <w:rPr>
                <w:rStyle w:val="FootnoteReference"/>
                <w:lang w:val="en-US"/>
              </w:rPr>
              <w:footnoteReference w:id="23"/>
            </w:r>
          </w:p>
        </w:tc>
        <w:tc>
          <w:tcPr>
            <w:tcW w:w="4644" w:type="dxa"/>
          </w:tcPr>
          <w:p w:rsidR="00B538C7" w:rsidRPr="00AC42CC" w:rsidRDefault="001A628F" w:rsidP="00FB4AE9">
            <w:pPr>
              <w:rPr>
                <w:lang w:val="en-US"/>
              </w:rPr>
            </w:pPr>
            <w:r w:rsidRPr="00AC42CC">
              <w:rPr>
                <w:lang w:val="en-US"/>
              </w:rPr>
              <w:t>Independent Living</w:t>
            </w:r>
            <w:r w:rsidR="009758FE" w:rsidRPr="00AC42CC">
              <w:rPr>
                <w:lang w:val="en-US"/>
              </w:rPr>
              <w:t xml:space="preserve"> +</w:t>
            </w:r>
            <w:r w:rsidRPr="00AC42CC">
              <w:rPr>
                <w:lang w:val="en-US"/>
              </w:rPr>
              <w:t xml:space="preserve"> </w:t>
            </w:r>
            <w:r w:rsidR="00FB4AE9" w:rsidRPr="00AC42CC">
              <w:rPr>
                <w:lang w:val="en-US"/>
              </w:rPr>
              <w:t>Recycling</w:t>
            </w:r>
            <w:r w:rsidR="009758FE" w:rsidRPr="00AC42CC">
              <w:rPr>
                <w:lang w:val="en-US"/>
              </w:rPr>
              <w:t xml:space="preserve"> + Insurance</w:t>
            </w:r>
          </w:p>
        </w:tc>
      </w:tr>
      <w:tr w:rsidR="00B538C7" w:rsidRPr="00AC42CC" w:rsidTr="00AC42CC">
        <w:tc>
          <w:tcPr>
            <w:tcW w:w="4644" w:type="dxa"/>
          </w:tcPr>
          <w:p w:rsidR="00B538C7" w:rsidRPr="00AC42CC" w:rsidRDefault="001A628F" w:rsidP="00D156B3">
            <w:pPr>
              <w:rPr>
                <w:lang w:val="en-US"/>
              </w:rPr>
            </w:pPr>
            <w:r w:rsidRPr="00AC42CC">
              <w:rPr>
                <w:lang w:val="en-US"/>
              </w:rPr>
              <w:t>Space</w:t>
            </w:r>
          </w:p>
        </w:tc>
        <w:tc>
          <w:tcPr>
            <w:tcW w:w="4644" w:type="dxa"/>
          </w:tcPr>
          <w:p w:rsidR="00B538C7" w:rsidRPr="00AC42CC" w:rsidRDefault="001A628F" w:rsidP="00FB4AE9">
            <w:pPr>
              <w:rPr>
                <w:lang w:val="en-US"/>
              </w:rPr>
            </w:pPr>
            <w:r w:rsidRPr="00AC42CC">
              <w:rPr>
                <w:lang w:val="en-US"/>
              </w:rPr>
              <w:t xml:space="preserve">Aerospace and </w:t>
            </w:r>
            <w:r w:rsidR="00FB4AE9" w:rsidRPr="00AC42CC">
              <w:rPr>
                <w:lang w:val="en-US"/>
              </w:rPr>
              <w:t>a</w:t>
            </w:r>
            <w:r w:rsidRPr="00AC42CC">
              <w:rPr>
                <w:lang w:val="en-US"/>
              </w:rPr>
              <w:t>viation</w:t>
            </w:r>
          </w:p>
        </w:tc>
      </w:tr>
      <w:tr w:rsidR="00B538C7" w:rsidRPr="00AC42CC" w:rsidTr="00AC42CC">
        <w:tc>
          <w:tcPr>
            <w:tcW w:w="4644" w:type="dxa"/>
          </w:tcPr>
          <w:p w:rsidR="00B538C7" w:rsidRPr="00AC42CC" w:rsidRDefault="001A628F" w:rsidP="00D156B3">
            <w:pPr>
              <w:rPr>
                <w:lang w:val="en-US"/>
              </w:rPr>
            </w:pPr>
            <w:r w:rsidRPr="00AC42CC">
              <w:rPr>
                <w:lang w:val="en-US"/>
              </w:rPr>
              <w:t>Security</w:t>
            </w:r>
          </w:p>
        </w:tc>
        <w:tc>
          <w:tcPr>
            <w:tcW w:w="4644" w:type="dxa"/>
          </w:tcPr>
          <w:p w:rsidR="00B538C7" w:rsidRPr="00AC42CC" w:rsidRDefault="001A628F" w:rsidP="00D156B3">
            <w:pPr>
              <w:rPr>
                <w:lang w:val="en-US"/>
              </w:rPr>
            </w:pPr>
            <w:r w:rsidRPr="00AC42CC">
              <w:rPr>
                <w:lang w:val="en-US"/>
              </w:rPr>
              <w:t>Safety, Security and Privacy</w:t>
            </w:r>
          </w:p>
        </w:tc>
      </w:tr>
    </w:tbl>
    <w:p w:rsidR="00E77D51" w:rsidRDefault="00E77D51" w:rsidP="00DB0A38">
      <w:pPr>
        <w:rPr>
          <w:lang w:val="en-US"/>
        </w:rPr>
      </w:pPr>
    </w:p>
    <w:p w:rsidR="005D5414" w:rsidRDefault="000505A9" w:rsidP="005D5414">
      <w:pPr>
        <w:rPr>
          <w:lang w:val="en-US"/>
        </w:rPr>
      </w:pPr>
      <w:r>
        <w:rPr>
          <w:lang w:val="en-US"/>
        </w:rPr>
        <w:t>These</w:t>
      </w:r>
      <w:r w:rsidR="005D5414">
        <w:rPr>
          <w:lang w:val="en-US"/>
        </w:rPr>
        <w:t xml:space="preserve"> categories are not directly related to surveillance,</w:t>
      </w:r>
      <w:r>
        <w:rPr>
          <w:lang w:val="en-US"/>
        </w:rPr>
        <w:t xml:space="preserve"> still</w:t>
      </w:r>
      <w:r w:rsidR="005D5414">
        <w:rPr>
          <w:lang w:val="en-US"/>
        </w:rPr>
        <w:t xml:space="preserve"> they can have an impact on the way surveillance is embedded in society. Transport, for example, entails clean and safe vehicles.</w:t>
      </w:r>
      <w:r w:rsidR="005D5414">
        <w:rPr>
          <w:rStyle w:val="FootnoteReference"/>
          <w:lang w:val="en-US"/>
        </w:rPr>
        <w:footnoteReference w:id="24"/>
      </w:r>
      <w:r w:rsidR="00F86A32">
        <w:rPr>
          <w:lang w:val="en-US"/>
        </w:rPr>
        <w:t xml:space="preserve"> </w:t>
      </w:r>
      <w:r w:rsidR="005D5414" w:rsidRPr="0048594A">
        <w:rPr>
          <w:lang w:val="en-US"/>
        </w:rPr>
        <w:t>In a</w:t>
      </w:r>
      <w:r w:rsidR="005D5414">
        <w:rPr>
          <w:lang w:val="en-US"/>
        </w:rPr>
        <w:t>n</w:t>
      </w:r>
      <w:r w:rsidR="005D5414" w:rsidRPr="0048594A">
        <w:rPr>
          <w:lang w:val="en-US"/>
        </w:rPr>
        <w:t xml:space="preserve"> International Telecommunication Union </w:t>
      </w:r>
      <w:r w:rsidR="005D5414">
        <w:rPr>
          <w:lang w:val="en-US"/>
        </w:rPr>
        <w:t xml:space="preserve">report on the </w:t>
      </w:r>
      <w:proofErr w:type="spellStart"/>
      <w:r w:rsidR="005D5414">
        <w:rPr>
          <w:lang w:val="en-US"/>
        </w:rPr>
        <w:t>IoT</w:t>
      </w:r>
      <w:proofErr w:type="spellEnd"/>
      <w:r w:rsidR="005D5414">
        <w:rPr>
          <w:lang w:val="en-US"/>
        </w:rPr>
        <w:t xml:space="preserve">, </w:t>
      </w:r>
      <w:r w:rsidR="005D5414" w:rsidRPr="0048594A">
        <w:rPr>
          <w:lang w:val="en-US"/>
        </w:rPr>
        <w:t xml:space="preserve">speculations are already made </w:t>
      </w:r>
      <w:r w:rsidR="005D5414">
        <w:rPr>
          <w:lang w:val="en-US"/>
        </w:rPr>
        <w:t>about</w:t>
      </w:r>
      <w:r w:rsidR="005D5414" w:rsidRPr="0048594A">
        <w:rPr>
          <w:lang w:val="en-US"/>
        </w:rPr>
        <w:t xml:space="preserve"> RFID-systems in cars </w:t>
      </w:r>
      <w:r w:rsidR="005D5414">
        <w:rPr>
          <w:lang w:val="en-US"/>
        </w:rPr>
        <w:t>(mandatory by law) to</w:t>
      </w:r>
      <w:r w:rsidR="005D5414" w:rsidRPr="0048594A">
        <w:rPr>
          <w:lang w:val="en-US"/>
        </w:rPr>
        <w:t xml:space="preserve"> </w:t>
      </w:r>
      <w:r w:rsidR="005D5414">
        <w:rPr>
          <w:lang w:val="en-US"/>
        </w:rPr>
        <w:t>measure ti</w:t>
      </w:r>
      <w:r w:rsidR="005D5414" w:rsidRPr="0048594A">
        <w:rPr>
          <w:lang w:val="en-US"/>
        </w:rPr>
        <w:t>re-pressure.</w:t>
      </w:r>
      <w:r w:rsidR="005D5414">
        <w:rPr>
          <w:rStyle w:val="FootnoteReference"/>
          <w:lang w:val="en-US"/>
        </w:rPr>
        <w:footnoteReference w:id="25"/>
      </w:r>
      <w:r w:rsidR="005D5414" w:rsidRPr="0048594A">
        <w:rPr>
          <w:lang w:val="en-US"/>
        </w:rPr>
        <w:t xml:space="preserve"> </w:t>
      </w:r>
      <w:proofErr w:type="spellStart"/>
      <w:r>
        <w:rPr>
          <w:lang w:val="en-US"/>
        </w:rPr>
        <w:t>Neelie</w:t>
      </w:r>
      <w:proofErr w:type="spellEnd"/>
      <w:r>
        <w:rPr>
          <w:lang w:val="en-US"/>
        </w:rPr>
        <w:t xml:space="preserve"> </w:t>
      </w:r>
      <w:proofErr w:type="spellStart"/>
      <w:r>
        <w:rPr>
          <w:lang w:val="en-US"/>
        </w:rPr>
        <w:t>Kroes</w:t>
      </w:r>
      <w:proofErr w:type="spellEnd"/>
      <w:r>
        <w:rPr>
          <w:lang w:val="en-US"/>
        </w:rPr>
        <w:t>, the Commissioner for Digital Agenda,</w:t>
      </w:r>
      <w:r w:rsidR="00F86A32">
        <w:rPr>
          <w:lang w:val="en-US"/>
        </w:rPr>
        <w:t xml:space="preserve"> </w:t>
      </w:r>
      <w:r>
        <w:rPr>
          <w:lang w:val="en-US"/>
        </w:rPr>
        <w:t>announced in 2011</w:t>
      </w:r>
      <w:r w:rsidR="005D5414" w:rsidRPr="0048594A">
        <w:rPr>
          <w:lang w:val="en-US"/>
        </w:rPr>
        <w:t xml:space="preserve"> </w:t>
      </w:r>
      <w:r w:rsidR="005D5414">
        <w:rPr>
          <w:lang w:val="en-US"/>
        </w:rPr>
        <w:t>that</w:t>
      </w:r>
      <w:r w:rsidR="005D5414" w:rsidRPr="0048594A">
        <w:rPr>
          <w:lang w:val="en-US"/>
        </w:rPr>
        <w:t xml:space="preserve"> cars </w:t>
      </w:r>
      <w:r w:rsidR="000E2AF5">
        <w:rPr>
          <w:lang w:val="en-US"/>
        </w:rPr>
        <w:t>should</w:t>
      </w:r>
      <w:r w:rsidR="005D5414" w:rsidRPr="0048594A">
        <w:rPr>
          <w:lang w:val="en-US"/>
        </w:rPr>
        <w:t xml:space="preserve"> be equipped with a system that independently dials emergency services whenever the car crashes.</w:t>
      </w:r>
      <w:r w:rsidR="005D5414">
        <w:rPr>
          <w:rStyle w:val="FootnoteReference"/>
          <w:lang w:val="en-US"/>
        </w:rPr>
        <w:footnoteReference w:id="26"/>
      </w:r>
      <w:r w:rsidR="005D5414" w:rsidRPr="0048594A">
        <w:rPr>
          <w:lang w:val="en-US"/>
        </w:rPr>
        <w:t xml:space="preserve"> </w:t>
      </w:r>
      <w:r w:rsidR="0047691B">
        <w:rPr>
          <w:lang w:val="en-US"/>
        </w:rPr>
        <w:t xml:space="preserve">The </w:t>
      </w:r>
      <w:proofErr w:type="spellStart"/>
      <w:r w:rsidR="0090176C">
        <w:rPr>
          <w:lang w:val="en-US"/>
        </w:rPr>
        <w:t>eCall</w:t>
      </w:r>
      <w:proofErr w:type="spellEnd"/>
      <w:r w:rsidR="0047691B">
        <w:rPr>
          <w:lang w:val="en-US"/>
        </w:rPr>
        <w:t>-system</w:t>
      </w:r>
      <w:r w:rsidR="005D5414">
        <w:rPr>
          <w:lang w:val="en-US"/>
        </w:rPr>
        <w:t xml:space="preserve"> locates the car through GPS</w:t>
      </w:r>
      <w:r w:rsidR="0090176C">
        <w:rPr>
          <w:rStyle w:val="FootnoteReference"/>
          <w:lang w:val="en-US"/>
        </w:rPr>
        <w:footnoteReference w:id="27"/>
      </w:r>
      <w:r w:rsidR="0090176C">
        <w:rPr>
          <w:lang w:val="en-US"/>
        </w:rPr>
        <w:t xml:space="preserve"> and </w:t>
      </w:r>
      <w:r w:rsidR="00923EF3">
        <w:rPr>
          <w:lang w:val="en-US"/>
        </w:rPr>
        <w:t>currently there is a pilot project funded by €5 million from the Commission</w:t>
      </w:r>
      <w:r w:rsidR="005D5414">
        <w:rPr>
          <w:lang w:val="en-US"/>
        </w:rPr>
        <w:t>.</w:t>
      </w:r>
      <w:r w:rsidR="00923EF3">
        <w:rPr>
          <w:rStyle w:val="FootnoteReference"/>
          <w:lang w:val="en-US"/>
        </w:rPr>
        <w:footnoteReference w:id="28"/>
      </w:r>
      <w:r w:rsidR="005D5414">
        <w:rPr>
          <w:lang w:val="en-US"/>
        </w:rPr>
        <w:t xml:space="preserve"> Although cloaked in terms of benevolence, this plan implies the mandatory installation of military localization equipment in eve</w:t>
      </w:r>
      <w:r w:rsidR="009F0023">
        <w:rPr>
          <w:lang w:val="en-US"/>
        </w:rPr>
        <w:t>ry new car in the EU starting</w:t>
      </w:r>
      <w:r w:rsidR="005D5414">
        <w:rPr>
          <w:lang w:val="en-US"/>
        </w:rPr>
        <w:t xml:space="preserve"> 2015</w:t>
      </w:r>
      <w:r w:rsidR="005D5414" w:rsidRPr="0048594A">
        <w:rPr>
          <w:lang w:val="en-US"/>
        </w:rPr>
        <w:t xml:space="preserve">. It does not take a lot of imagination to visualize </w:t>
      </w:r>
      <w:r w:rsidR="009D4B6E">
        <w:rPr>
          <w:lang w:val="en-US"/>
        </w:rPr>
        <w:t xml:space="preserve">the </w:t>
      </w:r>
      <w:r w:rsidR="005D5414" w:rsidRPr="0048594A">
        <w:rPr>
          <w:lang w:val="en-US"/>
        </w:rPr>
        <w:t xml:space="preserve">police </w:t>
      </w:r>
      <w:r w:rsidR="005D5414">
        <w:rPr>
          <w:lang w:val="en-US"/>
        </w:rPr>
        <w:t>using</w:t>
      </w:r>
      <w:r w:rsidR="005D5414" w:rsidRPr="0048594A">
        <w:rPr>
          <w:lang w:val="en-US"/>
        </w:rPr>
        <w:t xml:space="preserve"> this system </w:t>
      </w:r>
      <w:r w:rsidR="005D5414">
        <w:rPr>
          <w:lang w:val="en-US"/>
        </w:rPr>
        <w:t>when</w:t>
      </w:r>
      <w:r w:rsidR="005D5414" w:rsidRPr="0048594A">
        <w:rPr>
          <w:lang w:val="en-US"/>
        </w:rPr>
        <w:t xml:space="preserve"> a car is stolen, or </w:t>
      </w:r>
      <w:r w:rsidR="005D5414">
        <w:rPr>
          <w:lang w:val="en-US"/>
        </w:rPr>
        <w:t>when a policeman is genuinely interested whether his wife is really spending the weekend at her mom’s place.</w:t>
      </w:r>
      <w:r w:rsidR="005D5414">
        <w:rPr>
          <w:rStyle w:val="FootnoteReference"/>
          <w:lang w:val="en-US"/>
        </w:rPr>
        <w:footnoteReference w:id="29"/>
      </w:r>
      <w:r w:rsidR="005D5414">
        <w:rPr>
          <w:lang w:val="en-US"/>
        </w:rPr>
        <w:t xml:space="preserve"> </w:t>
      </w:r>
    </w:p>
    <w:p w:rsidR="005E51A8" w:rsidRDefault="008103C6" w:rsidP="005D5414">
      <w:pPr>
        <w:rPr>
          <w:lang w:val="en-US"/>
        </w:rPr>
      </w:pPr>
      <w:r>
        <w:rPr>
          <w:lang w:val="en-US"/>
        </w:rPr>
        <w:t>This is</w:t>
      </w:r>
      <w:r w:rsidR="004D1DDC">
        <w:rPr>
          <w:lang w:val="en-US"/>
        </w:rPr>
        <w:t xml:space="preserve"> just one example, but there are of course more fields in which the general FP7-funding will contri</w:t>
      </w:r>
      <w:r w:rsidR="009F0023">
        <w:rPr>
          <w:lang w:val="en-US"/>
        </w:rPr>
        <w:t xml:space="preserve">bute to the </w:t>
      </w:r>
      <w:proofErr w:type="spellStart"/>
      <w:r w:rsidR="009F0023">
        <w:rPr>
          <w:lang w:val="en-US"/>
        </w:rPr>
        <w:t>IoT</w:t>
      </w:r>
      <w:proofErr w:type="spellEnd"/>
      <w:r w:rsidR="009F0023">
        <w:rPr>
          <w:lang w:val="en-US"/>
        </w:rPr>
        <w:t>-vision. The simi</w:t>
      </w:r>
      <w:r w:rsidR="004D1DDC">
        <w:rPr>
          <w:lang w:val="en-US"/>
        </w:rPr>
        <w:t xml:space="preserve">larity between the key thematic areas of FP7 and </w:t>
      </w:r>
      <w:proofErr w:type="spellStart"/>
      <w:r w:rsidR="004D1DDC">
        <w:rPr>
          <w:lang w:val="en-US"/>
        </w:rPr>
        <w:t>IoT</w:t>
      </w:r>
      <w:proofErr w:type="spellEnd"/>
      <w:r w:rsidR="004D1DDC">
        <w:rPr>
          <w:lang w:val="en-US"/>
        </w:rPr>
        <w:t xml:space="preserve"> are striking and obvious. Generally it is safe to say that </w:t>
      </w:r>
      <w:r w:rsidR="009C6A43">
        <w:rPr>
          <w:lang w:val="en-US"/>
        </w:rPr>
        <w:t xml:space="preserve">a </w:t>
      </w:r>
      <w:r w:rsidR="004D1DDC">
        <w:rPr>
          <w:lang w:val="en-US"/>
        </w:rPr>
        <w:t xml:space="preserve">substantial </w:t>
      </w:r>
      <w:r w:rsidR="009C6A43">
        <w:rPr>
          <w:lang w:val="en-US"/>
        </w:rPr>
        <w:t xml:space="preserve">amount of </w:t>
      </w:r>
      <w:r w:rsidR="004D1DDC">
        <w:rPr>
          <w:lang w:val="en-US"/>
        </w:rPr>
        <w:t xml:space="preserve">public money is invested in technology and therefore it can be assumed that the public has an interest in what they actually </w:t>
      </w:r>
      <w:r w:rsidR="004D1DDC">
        <w:rPr>
          <w:lang w:val="en-US"/>
        </w:rPr>
        <w:lastRenderedPageBreak/>
        <w:t>invested.</w:t>
      </w:r>
      <w:r w:rsidR="009C6A43">
        <w:rPr>
          <w:lang w:val="en-US"/>
        </w:rPr>
        <w:t xml:space="preserve"> Another </w:t>
      </w:r>
      <w:r w:rsidR="00D1585F">
        <w:rPr>
          <w:lang w:val="en-US"/>
        </w:rPr>
        <w:t xml:space="preserve">interesting </w:t>
      </w:r>
      <w:r w:rsidR="009C6A43">
        <w:rPr>
          <w:lang w:val="en-US"/>
        </w:rPr>
        <w:t>question that I will not address in this article is whether the public should also have a say in</w:t>
      </w:r>
      <w:r w:rsidR="00D1585F">
        <w:rPr>
          <w:lang w:val="en-US"/>
        </w:rPr>
        <w:t xml:space="preserve"> what kind of projects this money is invested.</w:t>
      </w:r>
    </w:p>
    <w:p w:rsidR="00AF590B" w:rsidRDefault="003F69DA">
      <w:pPr>
        <w:pStyle w:val="Heading3"/>
        <w:numPr>
          <w:ilvl w:val="1"/>
          <w:numId w:val="13"/>
        </w:numPr>
        <w:rPr>
          <w:lang w:val="en-US"/>
        </w:rPr>
      </w:pPr>
      <w:bookmarkStart w:id="11" w:name="_Toc347145356"/>
      <w:r>
        <w:rPr>
          <w:lang w:val="en-US"/>
        </w:rPr>
        <w:t xml:space="preserve">Direct funding for the </w:t>
      </w:r>
      <w:proofErr w:type="spellStart"/>
      <w:r>
        <w:rPr>
          <w:lang w:val="en-US"/>
        </w:rPr>
        <w:t>IoT</w:t>
      </w:r>
      <w:bookmarkEnd w:id="11"/>
      <w:proofErr w:type="spellEnd"/>
    </w:p>
    <w:p w:rsidR="005D5414" w:rsidRDefault="008732B7" w:rsidP="00DB0A38">
      <w:pPr>
        <w:rPr>
          <w:lang w:val="en-US"/>
        </w:rPr>
      </w:pPr>
      <w:r>
        <w:rPr>
          <w:lang w:val="en-US"/>
        </w:rPr>
        <w:t>P</w:t>
      </w:r>
      <w:r w:rsidR="00EE1872">
        <w:rPr>
          <w:lang w:val="en-US"/>
        </w:rPr>
        <w:t xml:space="preserve">rojects supporting the </w:t>
      </w:r>
      <w:proofErr w:type="spellStart"/>
      <w:r w:rsidR="00EE1872">
        <w:rPr>
          <w:lang w:val="en-US"/>
        </w:rPr>
        <w:t>IoT</w:t>
      </w:r>
      <w:proofErr w:type="spellEnd"/>
      <w:r w:rsidR="00EE1872">
        <w:rPr>
          <w:lang w:val="en-US"/>
        </w:rPr>
        <w:t>-vision receive</w:t>
      </w:r>
      <w:r w:rsidR="00DD18F0">
        <w:rPr>
          <w:lang w:val="en-US"/>
        </w:rPr>
        <w:t xml:space="preserve"> money directly from </w:t>
      </w:r>
      <w:r w:rsidR="007D00F8">
        <w:rPr>
          <w:lang w:val="en-US"/>
        </w:rPr>
        <w:t>FP7 through t</w:t>
      </w:r>
      <w:r w:rsidR="00DD18F0">
        <w:rPr>
          <w:lang w:val="en-US"/>
        </w:rPr>
        <w:t xml:space="preserve">he ICT Work </w:t>
      </w:r>
      <w:proofErr w:type="spellStart"/>
      <w:r w:rsidR="00DD18F0">
        <w:rPr>
          <w:lang w:val="en-US"/>
        </w:rPr>
        <w:t>Programme</w:t>
      </w:r>
      <w:proofErr w:type="spellEnd"/>
      <w:r w:rsidR="00DD18F0">
        <w:rPr>
          <w:lang w:val="en-US"/>
        </w:rPr>
        <w:t>, which pertains to the key thematic area of Information and Communication Technologies</w:t>
      </w:r>
      <w:r w:rsidR="00203AB3">
        <w:rPr>
          <w:lang w:val="en-US"/>
        </w:rPr>
        <w:t xml:space="preserve"> and</w:t>
      </w:r>
      <w:r w:rsidR="00DD18F0">
        <w:rPr>
          <w:lang w:val="en-US"/>
        </w:rPr>
        <w:t xml:space="preserve"> receives a total of €9.1 billion, the bigge</w:t>
      </w:r>
      <w:r w:rsidR="001B6EE3">
        <w:rPr>
          <w:lang w:val="en-US"/>
        </w:rPr>
        <w:t xml:space="preserve">st share of all research themes in the Cooperation </w:t>
      </w:r>
      <w:proofErr w:type="spellStart"/>
      <w:r w:rsidR="005D5414">
        <w:rPr>
          <w:lang w:val="en-US"/>
        </w:rPr>
        <w:t>P</w:t>
      </w:r>
      <w:r w:rsidR="001B6EE3">
        <w:rPr>
          <w:lang w:val="en-US"/>
        </w:rPr>
        <w:t>rogramme</w:t>
      </w:r>
      <w:proofErr w:type="spellEnd"/>
      <w:r w:rsidR="001B6EE3">
        <w:rPr>
          <w:lang w:val="en-US"/>
        </w:rPr>
        <w:t>.</w:t>
      </w:r>
      <w:r w:rsidR="001B6EE3">
        <w:rPr>
          <w:rStyle w:val="FootnoteReference"/>
          <w:lang w:val="en-US"/>
        </w:rPr>
        <w:footnoteReference w:id="30"/>
      </w:r>
      <w:r w:rsidR="00EE1872">
        <w:rPr>
          <w:lang w:val="en-US"/>
        </w:rPr>
        <w:t xml:space="preserve">In the ICT Work </w:t>
      </w:r>
      <w:proofErr w:type="spellStart"/>
      <w:r w:rsidR="00EE1872">
        <w:rPr>
          <w:lang w:val="en-US"/>
        </w:rPr>
        <w:t>Programme</w:t>
      </w:r>
      <w:proofErr w:type="spellEnd"/>
      <w:r w:rsidR="00EE1872">
        <w:rPr>
          <w:lang w:val="en-US"/>
        </w:rPr>
        <w:t xml:space="preserve"> </w:t>
      </w:r>
      <w:r w:rsidR="00455672">
        <w:rPr>
          <w:lang w:val="en-US"/>
        </w:rPr>
        <w:t xml:space="preserve">2013 </w:t>
      </w:r>
      <w:r w:rsidR="00EE1872">
        <w:rPr>
          <w:lang w:val="en-US"/>
        </w:rPr>
        <w:t xml:space="preserve">the </w:t>
      </w:r>
      <w:proofErr w:type="spellStart"/>
      <w:r w:rsidR="00EE1872">
        <w:rPr>
          <w:lang w:val="en-US"/>
        </w:rPr>
        <w:t>IoT</w:t>
      </w:r>
      <w:proofErr w:type="spellEnd"/>
      <w:r w:rsidR="00EE1872">
        <w:rPr>
          <w:lang w:val="en-US"/>
        </w:rPr>
        <w:t xml:space="preserve"> is </w:t>
      </w:r>
      <w:r w:rsidR="00287448">
        <w:rPr>
          <w:lang w:val="en-US"/>
        </w:rPr>
        <w:t xml:space="preserve">explicitly </w:t>
      </w:r>
      <w:r w:rsidR="00EE1872">
        <w:rPr>
          <w:lang w:val="en-US"/>
        </w:rPr>
        <w:t xml:space="preserve">mentioned in </w:t>
      </w:r>
      <w:r w:rsidR="0013233A">
        <w:rPr>
          <w:lang w:val="en-US"/>
        </w:rPr>
        <w:t xml:space="preserve">four </w:t>
      </w:r>
      <w:r w:rsidR="001B0570">
        <w:rPr>
          <w:lang w:val="en-US"/>
        </w:rPr>
        <w:t>policy agendas</w:t>
      </w:r>
      <w:r w:rsidR="0013233A">
        <w:rPr>
          <w:lang w:val="en-US"/>
        </w:rPr>
        <w:t xml:space="preserve"> – healthy ageing, smart cities, </w:t>
      </w:r>
      <w:r w:rsidR="00B32BFF">
        <w:rPr>
          <w:lang w:val="en-US"/>
        </w:rPr>
        <w:t>pervasive</w:t>
      </w:r>
      <w:r w:rsidR="0013233A">
        <w:rPr>
          <w:lang w:val="en-US"/>
        </w:rPr>
        <w:t xml:space="preserve"> </w:t>
      </w:r>
      <w:r w:rsidR="00B32BFF">
        <w:rPr>
          <w:lang w:val="en-US"/>
        </w:rPr>
        <w:t xml:space="preserve">and trusted network and service infrastructures and the </w:t>
      </w:r>
      <w:proofErr w:type="spellStart"/>
      <w:r w:rsidR="00B32BFF">
        <w:rPr>
          <w:lang w:val="en-US"/>
        </w:rPr>
        <w:t>IoT</w:t>
      </w:r>
      <w:proofErr w:type="spellEnd"/>
      <w:r w:rsidR="00B32BFF">
        <w:rPr>
          <w:lang w:val="en-US"/>
        </w:rPr>
        <w:t xml:space="preserve"> in combination with the cloud </w:t>
      </w:r>
      <w:r w:rsidR="007D00F8">
        <w:rPr>
          <w:lang w:val="en-US"/>
        </w:rPr>
        <w:t>–</w:t>
      </w:r>
      <w:r w:rsidR="00B32BFF">
        <w:rPr>
          <w:lang w:val="en-US"/>
        </w:rPr>
        <w:t xml:space="preserve"> </w:t>
      </w:r>
      <w:r w:rsidR="007D00F8">
        <w:rPr>
          <w:lang w:val="en-US"/>
        </w:rPr>
        <w:t xml:space="preserve">two of which I will treat and </w:t>
      </w:r>
      <w:r w:rsidR="00CD07AD">
        <w:rPr>
          <w:lang w:val="en-US"/>
        </w:rPr>
        <w:t>address</w:t>
      </w:r>
      <w:r w:rsidR="007D00F8">
        <w:rPr>
          <w:lang w:val="en-US"/>
        </w:rPr>
        <w:t xml:space="preserve"> the relevance for surveillance</w:t>
      </w:r>
      <w:r w:rsidR="00B32BFF">
        <w:rPr>
          <w:lang w:val="en-US"/>
        </w:rPr>
        <w:t xml:space="preserve">. </w:t>
      </w:r>
    </w:p>
    <w:p w:rsidR="003149AF" w:rsidRDefault="001A4240" w:rsidP="008D0303">
      <w:pPr>
        <w:rPr>
          <w:lang w:val="en-US"/>
        </w:rPr>
      </w:pPr>
      <w:r>
        <w:rPr>
          <w:lang w:val="en-US"/>
        </w:rPr>
        <w:t>First of all</w:t>
      </w:r>
      <w:r w:rsidR="008778F4">
        <w:rPr>
          <w:lang w:val="en-US"/>
        </w:rPr>
        <w:t>, there is</w:t>
      </w:r>
      <w:r>
        <w:rPr>
          <w:lang w:val="en-US"/>
        </w:rPr>
        <w:t xml:space="preserve"> the paragraph on “European Innovation Partnership (EIP) on Active and Healthy Ageing”.</w:t>
      </w:r>
      <w:r w:rsidR="00B67E95">
        <w:rPr>
          <w:rStyle w:val="FootnoteReference"/>
          <w:lang w:val="en-US"/>
        </w:rPr>
        <w:footnoteReference w:id="31"/>
      </w:r>
      <w:r>
        <w:rPr>
          <w:lang w:val="en-US"/>
        </w:rPr>
        <w:t xml:space="preserve"> Through the</w:t>
      </w:r>
      <w:r w:rsidR="00F86A32">
        <w:rPr>
          <w:lang w:val="en-US"/>
        </w:rPr>
        <w:t xml:space="preserve"> </w:t>
      </w:r>
      <w:r>
        <w:rPr>
          <w:lang w:val="en-US"/>
        </w:rPr>
        <w:t xml:space="preserve">“personalized health, active aging and independent living” objective the healthy lifespan of EU citizens is supposed to be increased by two years. </w:t>
      </w:r>
      <w:r w:rsidR="00BE7258">
        <w:rPr>
          <w:lang w:val="en-US"/>
        </w:rPr>
        <w:t>An example of a project is ICARDEA</w:t>
      </w:r>
      <w:r w:rsidR="008D0303">
        <w:rPr>
          <w:lang w:val="en-US"/>
        </w:rPr>
        <w:t xml:space="preserve"> (Commission Funding €2.539.833 million)</w:t>
      </w:r>
      <w:r w:rsidR="008D0303">
        <w:rPr>
          <w:rStyle w:val="FootnoteReference"/>
          <w:lang w:val="en-US"/>
        </w:rPr>
        <w:footnoteReference w:id="32"/>
      </w:r>
      <w:r w:rsidR="00BE7258">
        <w:rPr>
          <w:lang w:val="en-US"/>
        </w:rPr>
        <w:t xml:space="preserve">: An Intelligent Platform for Personalized Remote Monitoring of the Cardiac Patients With Electronic Implant Devices. Although an initiative like this </w:t>
      </w:r>
      <w:r w:rsidR="003149AF">
        <w:rPr>
          <w:lang w:val="en-US"/>
        </w:rPr>
        <w:t>clearly serves the people under surveillance, through purpose creep this data</w:t>
      </w:r>
      <w:r w:rsidR="00D1585F">
        <w:rPr>
          <w:lang w:val="en-US"/>
        </w:rPr>
        <w:t>,</w:t>
      </w:r>
      <w:r w:rsidR="003149AF">
        <w:rPr>
          <w:lang w:val="en-US"/>
        </w:rPr>
        <w:t xml:space="preserve"> or even worse the devices</w:t>
      </w:r>
      <w:r w:rsidR="00D1585F">
        <w:rPr>
          <w:lang w:val="en-US"/>
        </w:rPr>
        <w:t>,</w:t>
      </w:r>
      <w:r w:rsidR="003149AF">
        <w:rPr>
          <w:lang w:val="en-US"/>
        </w:rPr>
        <w:t xml:space="preserve"> might be used for other goals. </w:t>
      </w:r>
      <w:r w:rsidR="008A4719">
        <w:rPr>
          <w:lang w:val="en-US"/>
        </w:rPr>
        <w:t>I</w:t>
      </w:r>
      <w:r w:rsidR="003149AF">
        <w:rPr>
          <w:lang w:val="en-US"/>
        </w:rPr>
        <w:t>n</w:t>
      </w:r>
      <w:r w:rsidR="008A4719">
        <w:rPr>
          <w:lang w:val="en-US"/>
        </w:rPr>
        <w:t xml:space="preserve"> SWAMI,</w:t>
      </w:r>
      <w:r w:rsidR="00F86A32">
        <w:rPr>
          <w:lang w:val="en-US"/>
        </w:rPr>
        <w:t xml:space="preserve"> </w:t>
      </w:r>
      <w:r w:rsidR="003149AF">
        <w:rPr>
          <w:lang w:val="en-US"/>
        </w:rPr>
        <w:t>an EU report</w:t>
      </w:r>
      <w:r w:rsidR="003149AF" w:rsidRPr="003149AF">
        <w:rPr>
          <w:lang w:val="en-US"/>
        </w:rPr>
        <w:t xml:space="preserve"> </w:t>
      </w:r>
      <w:r w:rsidR="008A4719">
        <w:rPr>
          <w:lang w:val="en-US"/>
        </w:rPr>
        <w:t xml:space="preserve">on ‘Ambient Intelligence’ - </w:t>
      </w:r>
      <w:r w:rsidR="003149AF" w:rsidRPr="008D0B0F">
        <w:rPr>
          <w:lang w:val="en-US"/>
        </w:rPr>
        <w:t>a term that is cons</w:t>
      </w:r>
      <w:r w:rsidR="008A4719">
        <w:rPr>
          <w:lang w:val="en-US"/>
        </w:rPr>
        <w:t xml:space="preserve">idered interchangeable with </w:t>
      </w:r>
      <w:proofErr w:type="spellStart"/>
      <w:r w:rsidR="008A4719">
        <w:rPr>
          <w:lang w:val="en-US"/>
        </w:rPr>
        <w:t>IoT</w:t>
      </w:r>
      <w:proofErr w:type="spellEnd"/>
      <w:r w:rsidR="008A4719">
        <w:rPr>
          <w:lang w:val="en-US"/>
        </w:rPr>
        <w:t xml:space="preserve"> – </w:t>
      </w:r>
      <w:r w:rsidR="00F078BA">
        <w:rPr>
          <w:lang w:val="en-US"/>
        </w:rPr>
        <w:t xml:space="preserve">it is written that </w:t>
      </w:r>
      <w:proofErr w:type="spellStart"/>
      <w:r w:rsidR="0029246D">
        <w:rPr>
          <w:lang w:val="en-US"/>
        </w:rPr>
        <w:t>IoT</w:t>
      </w:r>
      <w:proofErr w:type="spellEnd"/>
      <w:r w:rsidR="0029246D">
        <w:rPr>
          <w:lang w:val="en-US"/>
        </w:rPr>
        <w:t xml:space="preserve"> devices “such as implants or technologies that monitor our physiological condition and </w:t>
      </w:r>
      <w:proofErr w:type="spellStart"/>
      <w:r w:rsidR="0029246D">
        <w:rPr>
          <w:lang w:val="en-US"/>
        </w:rPr>
        <w:t>behavio</w:t>
      </w:r>
      <w:r w:rsidR="00203AB3">
        <w:rPr>
          <w:lang w:val="en-US"/>
        </w:rPr>
        <w:t>u</w:t>
      </w:r>
      <w:r w:rsidR="0029246D">
        <w:rPr>
          <w:lang w:val="en-US"/>
        </w:rPr>
        <w:t>r</w:t>
      </w:r>
      <w:proofErr w:type="spellEnd"/>
      <w:r w:rsidR="0029246D">
        <w:rPr>
          <w:lang w:val="en-US"/>
        </w:rPr>
        <w:t xml:space="preserve"> could well make our society more secure, particularly if they enable law enforcement authorities and intelligence agencies to take preventive measures.”</w:t>
      </w:r>
      <w:r w:rsidR="0029246D">
        <w:rPr>
          <w:rStyle w:val="FootnoteReference"/>
          <w:lang w:val="en-US"/>
        </w:rPr>
        <w:footnoteReference w:id="33"/>
      </w:r>
      <w:r w:rsidR="0029246D">
        <w:rPr>
          <w:lang w:val="en-US"/>
        </w:rPr>
        <w:t xml:space="preserve"> Although this harsh</w:t>
      </w:r>
      <w:r w:rsidR="00FA544C">
        <w:rPr>
          <w:lang w:val="en-US"/>
        </w:rPr>
        <w:t xml:space="preserve"> claim is slightly nuanced in the rest of the paragraph, </w:t>
      </w:r>
      <w:r w:rsidR="0029246D">
        <w:rPr>
          <w:lang w:val="en-US"/>
        </w:rPr>
        <w:t xml:space="preserve">it does show the possibility for a </w:t>
      </w:r>
      <w:r w:rsidR="00FA544C">
        <w:rPr>
          <w:lang w:val="en-US"/>
        </w:rPr>
        <w:t xml:space="preserve">form of </w:t>
      </w:r>
      <w:r w:rsidR="0029246D">
        <w:rPr>
          <w:lang w:val="en-US"/>
        </w:rPr>
        <w:t xml:space="preserve">purpose creep of which the thought alone </w:t>
      </w:r>
      <w:r w:rsidR="00FA544C">
        <w:rPr>
          <w:lang w:val="en-US"/>
        </w:rPr>
        <w:t>would</w:t>
      </w:r>
      <w:r w:rsidR="0029246D">
        <w:rPr>
          <w:lang w:val="en-US"/>
        </w:rPr>
        <w:t xml:space="preserve"> be detrimental to the health of </w:t>
      </w:r>
      <w:r w:rsidR="0002447C">
        <w:rPr>
          <w:lang w:val="en-US"/>
        </w:rPr>
        <w:t>any</w:t>
      </w:r>
      <w:r w:rsidR="0029246D">
        <w:rPr>
          <w:lang w:val="en-US"/>
        </w:rPr>
        <w:t xml:space="preserve"> person wearing such a device. </w:t>
      </w:r>
      <w:r w:rsidR="008778F4">
        <w:rPr>
          <w:lang w:val="en-US"/>
        </w:rPr>
        <w:t>It seems rather contradictive and co</w:t>
      </w:r>
      <w:r w:rsidR="00FA544C">
        <w:rPr>
          <w:lang w:val="en-US"/>
        </w:rPr>
        <w:t>unter</w:t>
      </w:r>
      <w:r w:rsidR="008778F4">
        <w:rPr>
          <w:lang w:val="en-US"/>
        </w:rPr>
        <w:t xml:space="preserve">productive to express this thought in a report </w:t>
      </w:r>
      <w:r w:rsidR="00D1585F">
        <w:rPr>
          <w:lang w:val="en-US"/>
        </w:rPr>
        <w:t xml:space="preserve">which </w:t>
      </w:r>
      <w:r w:rsidR="00FA544C">
        <w:rPr>
          <w:lang w:val="en-US"/>
        </w:rPr>
        <w:t>recognizes that</w:t>
      </w:r>
      <w:r w:rsidR="0029246D">
        <w:rPr>
          <w:lang w:val="en-US"/>
        </w:rPr>
        <w:t xml:space="preserve"> trust </w:t>
      </w:r>
      <w:r w:rsidR="00FA544C">
        <w:rPr>
          <w:lang w:val="en-US"/>
        </w:rPr>
        <w:t>i</w:t>
      </w:r>
      <w:r w:rsidR="0029246D">
        <w:rPr>
          <w:lang w:val="en-US"/>
        </w:rPr>
        <w:t xml:space="preserve">s a possible obstacle for realizing </w:t>
      </w:r>
      <w:r w:rsidR="0002447C">
        <w:rPr>
          <w:lang w:val="en-US"/>
        </w:rPr>
        <w:t>the</w:t>
      </w:r>
      <w:r w:rsidR="0029246D">
        <w:rPr>
          <w:lang w:val="en-US"/>
        </w:rPr>
        <w:t xml:space="preserve"> </w:t>
      </w:r>
      <w:proofErr w:type="spellStart"/>
      <w:r w:rsidR="0029246D">
        <w:rPr>
          <w:lang w:val="en-US"/>
        </w:rPr>
        <w:t>IoT</w:t>
      </w:r>
      <w:proofErr w:type="spellEnd"/>
      <w:r w:rsidR="0002447C">
        <w:rPr>
          <w:lang w:val="en-US"/>
        </w:rPr>
        <w:t xml:space="preserve">, as well as </w:t>
      </w:r>
      <w:r w:rsidR="008778F4">
        <w:rPr>
          <w:lang w:val="en-US"/>
        </w:rPr>
        <w:t>a necessary feature of life in contemporary society.</w:t>
      </w:r>
      <w:r w:rsidR="008778F4">
        <w:rPr>
          <w:rStyle w:val="FootnoteReference"/>
          <w:lang w:val="en-US"/>
        </w:rPr>
        <w:footnoteReference w:id="34"/>
      </w:r>
      <w:r w:rsidR="008778F4">
        <w:rPr>
          <w:lang w:val="en-US"/>
        </w:rPr>
        <w:t xml:space="preserve"> </w:t>
      </w:r>
    </w:p>
    <w:p w:rsidR="008778F4" w:rsidRPr="00E22959" w:rsidRDefault="00B67E95" w:rsidP="003149AF">
      <w:pPr>
        <w:rPr>
          <w:lang w:val="en-US"/>
        </w:rPr>
      </w:pPr>
      <w:r>
        <w:rPr>
          <w:lang w:val="en-US"/>
        </w:rPr>
        <w:t>Second</w:t>
      </w:r>
      <w:r w:rsidR="0002447C">
        <w:rPr>
          <w:lang w:val="en-US"/>
        </w:rPr>
        <w:t>,</w:t>
      </w:r>
      <w:r>
        <w:rPr>
          <w:lang w:val="en-US"/>
        </w:rPr>
        <w:t xml:space="preserve"> the </w:t>
      </w:r>
      <w:proofErr w:type="spellStart"/>
      <w:r>
        <w:rPr>
          <w:lang w:val="en-US"/>
        </w:rPr>
        <w:t>IoT</w:t>
      </w:r>
      <w:proofErr w:type="spellEnd"/>
      <w:r>
        <w:rPr>
          <w:lang w:val="en-US"/>
        </w:rPr>
        <w:t xml:space="preserve"> is mentioned in the context of smart cities. </w:t>
      </w:r>
      <w:r w:rsidR="001B0570">
        <w:rPr>
          <w:lang w:val="en-US"/>
        </w:rPr>
        <w:t>One of the key issues in this area is clean and efficient energy.</w:t>
      </w:r>
      <w:r w:rsidR="00F86A32">
        <w:rPr>
          <w:lang w:val="en-US"/>
        </w:rPr>
        <w:t xml:space="preserve"> </w:t>
      </w:r>
      <w:r w:rsidR="00EA3036">
        <w:rPr>
          <w:lang w:val="en-US"/>
        </w:rPr>
        <w:t>This also comes back in the sixth challenge</w:t>
      </w:r>
      <w:r w:rsidR="00CF7A0D">
        <w:rPr>
          <w:lang w:val="en-US"/>
        </w:rPr>
        <w:t>, that deals with the low carbon economy. One of the means to realize this goal is the transformation of our current electricity grid into a smart grid. In</w:t>
      </w:r>
      <w:r w:rsidR="00F56F49">
        <w:rPr>
          <w:lang w:val="en-US"/>
        </w:rPr>
        <w:t xml:space="preserve"> a nutshell,</w:t>
      </w:r>
      <w:r w:rsidR="00CF7A0D">
        <w:rPr>
          <w:lang w:val="en-US"/>
        </w:rPr>
        <w:t xml:space="preserve"> the smart grid </w:t>
      </w:r>
      <w:r w:rsidR="00F56F49">
        <w:rPr>
          <w:lang w:val="en-US"/>
        </w:rPr>
        <w:t xml:space="preserve">will enable a better coordination of </w:t>
      </w:r>
      <w:r w:rsidR="00CF7A0D">
        <w:rPr>
          <w:lang w:val="en-US"/>
        </w:rPr>
        <w:t xml:space="preserve">the demand and supply </w:t>
      </w:r>
      <w:r w:rsidR="00F56F49">
        <w:rPr>
          <w:lang w:val="en-US"/>
        </w:rPr>
        <w:t xml:space="preserve">side </w:t>
      </w:r>
      <w:r w:rsidR="00CF7A0D">
        <w:rPr>
          <w:lang w:val="en-US"/>
        </w:rPr>
        <w:t xml:space="preserve">of </w:t>
      </w:r>
      <w:r w:rsidR="00F56F49">
        <w:rPr>
          <w:lang w:val="en-US"/>
        </w:rPr>
        <w:t xml:space="preserve">the </w:t>
      </w:r>
      <w:r w:rsidR="00CF7A0D">
        <w:rPr>
          <w:lang w:val="en-US"/>
        </w:rPr>
        <w:t>electricity</w:t>
      </w:r>
      <w:r w:rsidR="00F56F49">
        <w:rPr>
          <w:lang w:val="en-US"/>
        </w:rPr>
        <w:t xml:space="preserve"> grid, this will reduce the amount of peak demands and thus save energy.</w:t>
      </w:r>
      <w:r w:rsidR="00EA576D" w:rsidRPr="00EA576D">
        <w:rPr>
          <w:lang w:val="en-US"/>
        </w:rPr>
        <w:t xml:space="preserve"> </w:t>
      </w:r>
      <w:r w:rsidR="00EA576D">
        <w:rPr>
          <w:lang w:val="en-US"/>
        </w:rPr>
        <w:t>A</w:t>
      </w:r>
      <w:r w:rsidR="00B52CDC">
        <w:rPr>
          <w:lang w:val="en-US"/>
        </w:rPr>
        <w:t xml:space="preserve">round </w:t>
      </w:r>
      <w:r w:rsidR="00EA576D">
        <w:rPr>
          <w:lang w:val="en-US"/>
        </w:rPr>
        <w:t>€ 5.5 billion</w:t>
      </w:r>
      <w:r w:rsidR="00D1585F">
        <w:rPr>
          <w:lang w:val="en-US"/>
        </w:rPr>
        <w:t xml:space="preserve"> is</w:t>
      </w:r>
      <w:r w:rsidR="00EA576D">
        <w:rPr>
          <w:lang w:val="en-US"/>
        </w:rPr>
        <w:t xml:space="preserve"> </w:t>
      </w:r>
      <w:r w:rsidR="00B52CDC">
        <w:rPr>
          <w:lang w:val="en-US"/>
        </w:rPr>
        <w:t>invested</w:t>
      </w:r>
      <w:r w:rsidR="00F86A32">
        <w:rPr>
          <w:lang w:val="en-US"/>
        </w:rPr>
        <w:t xml:space="preserve"> </w:t>
      </w:r>
      <w:r w:rsidR="00B52CDC">
        <w:rPr>
          <w:lang w:val="en-US"/>
        </w:rPr>
        <w:t xml:space="preserve">in </w:t>
      </w:r>
      <w:r w:rsidR="00EA576D">
        <w:rPr>
          <w:lang w:val="en-US"/>
        </w:rPr>
        <w:t>smart grid</w:t>
      </w:r>
      <w:r w:rsidR="00EA576D">
        <w:rPr>
          <w:rStyle w:val="FootnoteReference"/>
          <w:lang w:val="en-US"/>
        </w:rPr>
        <w:footnoteReference w:id="35"/>
      </w:r>
      <w:r w:rsidR="00EA576D">
        <w:rPr>
          <w:lang w:val="en-US"/>
        </w:rPr>
        <w:t xml:space="preserve"> projects</w:t>
      </w:r>
      <w:r w:rsidR="00B52CDC">
        <w:rPr>
          <w:lang w:val="en-US"/>
        </w:rPr>
        <w:t xml:space="preserve">, of which €300 million comes from EU </w:t>
      </w:r>
      <w:r w:rsidR="00B52CDC">
        <w:rPr>
          <w:lang w:val="en-US"/>
        </w:rPr>
        <w:lastRenderedPageBreak/>
        <w:t>budget.</w:t>
      </w:r>
      <w:r w:rsidR="00EA576D" w:rsidRPr="00C73AE1">
        <w:rPr>
          <w:rStyle w:val="FootnoteReference"/>
        </w:rPr>
        <w:footnoteReference w:id="36"/>
      </w:r>
      <w:r w:rsidR="00F56F49">
        <w:rPr>
          <w:lang w:val="en-US"/>
        </w:rPr>
        <w:t xml:space="preserve"> According to </w:t>
      </w:r>
      <w:r w:rsidR="0002447C">
        <w:rPr>
          <w:lang w:val="en-US"/>
        </w:rPr>
        <w:t xml:space="preserve">Annex 1 in </w:t>
      </w:r>
      <w:r w:rsidR="00F56F49">
        <w:rPr>
          <w:lang w:val="en-US"/>
        </w:rPr>
        <w:t xml:space="preserve">the Directive </w:t>
      </w:r>
      <w:r w:rsidR="00F56F49" w:rsidRPr="00F56F49">
        <w:rPr>
          <w:lang w:val="en-US"/>
        </w:rPr>
        <w:t>2009/72/EC concerning common rules for the internal market in electricity</w:t>
      </w:r>
      <w:r w:rsidR="00F56F49">
        <w:rPr>
          <w:rStyle w:val="FootnoteReference"/>
          <w:lang w:val="en-US"/>
        </w:rPr>
        <w:footnoteReference w:id="37"/>
      </w:r>
      <w:r w:rsidR="0002447C">
        <w:rPr>
          <w:lang w:val="en-US"/>
        </w:rPr>
        <w:t xml:space="preserve"> at least 80% of the consumers shall be equipped with intelligent metering systems by 2020.</w:t>
      </w:r>
      <w:r w:rsidR="004265F2">
        <w:rPr>
          <w:lang w:val="en-US"/>
        </w:rPr>
        <w:t xml:space="preserve"> Smart meters</w:t>
      </w:r>
      <w:r w:rsidR="00E22959">
        <w:rPr>
          <w:lang w:val="en-US"/>
        </w:rPr>
        <w:t xml:space="preserve"> automatically communicate the electricity consumption to the metering operator at a regular interval. </w:t>
      </w:r>
      <w:r w:rsidR="004265F2">
        <w:rPr>
          <w:lang w:val="en-US"/>
        </w:rPr>
        <w:t>These smart meters enable the metering operator to view the amount of electricity tha</w:t>
      </w:r>
      <w:r w:rsidR="0013233A">
        <w:rPr>
          <w:lang w:val="en-US"/>
        </w:rPr>
        <w:t>t is used, the detail of which depends on the design and the setting of the meter.</w:t>
      </w:r>
      <w:r w:rsidR="00242E1E">
        <w:rPr>
          <w:lang w:val="en-US"/>
        </w:rPr>
        <w:t xml:space="preserve"> </w:t>
      </w:r>
      <w:r w:rsidR="0013233A">
        <w:rPr>
          <w:lang w:val="en-US"/>
        </w:rPr>
        <w:t>In any case the operator is, legal requirements</w:t>
      </w:r>
      <w:r w:rsidR="00B32BFF">
        <w:rPr>
          <w:lang w:val="en-US"/>
        </w:rPr>
        <w:t xml:space="preserve"> set aside</w:t>
      </w:r>
      <w:r w:rsidR="0013233A">
        <w:rPr>
          <w:lang w:val="en-US"/>
        </w:rPr>
        <w:t>, capable to request this information whenever he wants.</w:t>
      </w:r>
      <w:r w:rsidR="00F86A32">
        <w:rPr>
          <w:lang w:val="en-US"/>
        </w:rPr>
        <w:t xml:space="preserve"> </w:t>
      </w:r>
      <w:r w:rsidR="00E22959">
        <w:rPr>
          <w:lang w:val="en-US"/>
        </w:rPr>
        <w:t xml:space="preserve">In 2004 there were already meters deployed in Finland that uploaded electricity data to the </w:t>
      </w:r>
      <w:r w:rsidR="0013233A">
        <w:rPr>
          <w:lang w:val="en-US"/>
        </w:rPr>
        <w:t>operator</w:t>
      </w:r>
      <w:r w:rsidR="00E22959">
        <w:rPr>
          <w:lang w:val="en-US"/>
        </w:rPr>
        <w:t xml:space="preserve"> in real-time.</w:t>
      </w:r>
      <w:r w:rsidR="00E22959">
        <w:rPr>
          <w:rStyle w:val="FootnoteReference"/>
        </w:rPr>
        <w:footnoteReference w:id="38"/>
      </w:r>
      <w:r w:rsidR="0013233A">
        <w:rPr>
          <w:lang w:val="en-US"/>
        </w:rPr>
        <w:t xml:space="preserve"> This data exposes certain behavior - t</w:t>
      </w:r>
      <w:r w:rsidR="0013233A" w:rsidRPr="00BB27A2">
        <w:rPr>
          <w:lang w:val="en-US"/>
        </w:rPr>
        <w:t>he time someone starts using electricity, stops using electricity, the changes in the usage patt</w:t>
      </w:r>
      <w:r w:rsidR="0013233A">
        <w:rPr>
          <w:lang w:val="en-US"/>
        </w:rPr>
        <w:t xml:space="preserve">ern - </w:t>
      </w:r>
      <w:r w:rsidR="0013233A" w:rsidRPr="00BB27A2">
        <w:rPr>
          <w:lang w:val="en-US"/>
        </w:rPr>
        <w:t xml:space="preserve">they all amount to </w:t>
      </w:r>
      <w:r w:rsidR="0013233A">
        <w:rPr>
          <w:lang w:val="en-US"/>
        </w:rPr>
        <w:t>the detail of the</w:t>
      </w:r>
      <w:r w:rsidR="0013233A" w:rsidRPr="00BB27A2">
        <w:rPr>
          <w:lang w:val="en-US"/>
        </w:rPr>
        <w:t xml:space="preserve"> picture that can be drawn about the life of the customer, </w:t>
      </w:r>
      <w:r w:rsidR="0013233A">
        <w:rPr>
          <w:lang w:val="en-US"/>
        </w:rPr>
        <w:t>it can even create</w:t>
      </w:r>
      <w:r w:rsidR="0013233A" w:rsidRPr="00BB27A2">
        <w:rPr>
          <w:lang w:val="en-US"/>
        </w:rPr>
        <w:t xml:space="preserve"> insight into someone</w:t>
      </w:r>
      <w:r w:rsidR="0013233A">
        <w:rPr>
          <w:lang w:val="en-US"/>
        </w:rPr>
        <w:t>’</w:t>
      </w:r>
      <w:r w:rsidR="0013233A" w:rsidRPr="00BB27A2">
        <w:rPr>
          <w:lang w:val="en-US"/>
        </w:rPr>
        <w:t>s religion.</w:t>
      </w:r>
      <w:r w:rsidR="0013233A">
        <w:rPr>
          <w:rStyle w:val="FootnoteReference"/>
        </w:rPr>
        <w:footnoteReference w:id="39"/>
      </w:r>
      <w:r w:rsidR="0013233A" w:rsidRPr="001F2BFF">
        <w:rPr>
          <w:lang w:val="en-US"/>
        </w:rPr>
        <w:t xml:space="preserve"> </w:t>
      </w:r>
      <w:r w:rsidR="00D1585F">
        <w:rPr>
          <w:lang w:val="en-US"/>
        </w:rPr>
        <w:t>Another new quality of the smart meter is that it allows the smart meter operator to shut the supply of electricity down without entering the home.</w:t>
      </w:r>
      <w:r w:rsidR="00D1585F">
        <w:rPr>
          <w:rStyle w:val="FootnoteReference"/>
          <w:lang w:val="en-US"/>
        </w:rPr>
        <w:footnoteReference w:id="40"/>
      </w:r>
      <w:r w:rsidR="00D1585F">
        <w:rPr>
          <w:lang w:val="en-US"/>
        </w:rPr>
        <w:t xml:space="preserve"> </w:t>
      </w:r>
      <w:r w:rsidR="00B32BFF">
        <w:rPr>
          <w:lang w:val="en-US"/>
        </w:rPr>
        <w:t xml:space="preserve">In one of the </w:t>
      </w:r>
      <w:r w:rsidR="00877E0A">
        <w:rPr>
          <w:lang w:val="en-US"/>
        </w:rPr>
        <w:t xml:space="preserve">EU </w:t>
      </w:r>
      <w:r w:rsidR="00B32BFF">
        <w:rPr>
          <w:lang w:val="en-US"/>
        </w:rPr>
        <w:t>reports</w:t>
      </w:r>
      <w:r w:rsidR="00877E0A">
        <w:rPr>
          <w:lang w:val="en-US"/>
        </w:rPr>
        <w:t xml:space="preserve"> on the </w:t>
      </w:r>
      <w:proofErr w:type="spellStart"/>
      <w:r w:rsidR="00877E0A">
        <w:rPr>
          <w:lang w:val="en-US"/>
        </w:rPr>
        <w:t>IoT</w:t>
      </w:r>
      <w:proofErr w:type="spellEnd"/>
      <w:r w:rsidR="00B32BFF">
        <w:rPr>
          <w:lang w:val="en-US"/>
        </w:rPr>
        <w:t xml:space="preserve"> it can be read that</w:t>
      </w:r>
      <w:r w:rsidR="00B32BFF" w:rsidRPr="009C3378">
        <w:rPr>
          <w:lang w:val="en-GB"/>
        </w:rPr>
        <w:t xml:space="preserve"> smart meters</w:t>
      </w:r>
      <w:r w:rsidR="00B32BFF">
        <w:rPr>
          <w:rStyle w:val="FootnoteReference"/>
          <w:lang w:val="en-GB"/>
        </w:rPr>
        <w:footnoteReference w:id="41"/>
      </w:r>
      <w:r w:rsidR="00B32BFF" w:rsidRPr="009C3378">
        <w:rPr>
          <w:lang w:val="en-GB"/>
        </w:rPr>
        <w:t xml:space="preserve"> in conjunction with modern home entertainment </w:t>
      </w:r>
      <w:r w:rsidR="00B32BFF">
        <w:rPr>
          <w:lang w:val="en-GB"/>
        </w:rPr>
        <w:t>systems could be combined with “</w:t>
      </w:r>
      <w:r w:rsidR="00B32BFF" w:rsidRPr="009C3378">
        <w:rPr>
          <w:lang w:val="en-GB"/>
        </w:rPr>
        <w:t>other sensors and actors within a building, thus forming a fully in</w:t>
      </w:r>
      <w:r w:rsidR="00B32BFF">
        <w:rPr>
          <w:lang w:val="en-GB"/>
        </w:rPr>
        <w:t>terconnected, smart environment”</w:t>
      </w:r>
      <w:r w:rsidR="00B32BFF" w:rsidRPr="009C3378">
        <w:rPr>
          <w:lang w:val="en-GB"/>
        </w:rPr>
        <w:t>.</w:t>
      </w:r>
      <w:r w:rsidR="00B32BFF">
        <w:rPr>
          <w:rStyle w:val="FootnoteReference"/>
          <w:lang w:val="en-GB"/>
        </w:rPr>
        <w:footnoteReference w:id="42"/>
      </w:r>
      <w:r w:rsidR="00606C1F">
        <w:rPr>
          <w:lang w:val="en-GB"/>
        </w:rPr>
        <w:t xml:space="preserve"> Smart meter </w:t>
      </w:r>
      <w:r w:rsidR="00606C1F">
        <w:rPr>
          <w:lang w:val="en-US"/>
        </w:rPr>
        <w:t>communication to devices over the Internet will create location- and traffic data, besides sensitive data might be stored on smart meters themselves available for the operator to request .</w:t>
      </w:r>
      <w:r w:rsidR="00606C1F">
        <w:rPr>
          <w:rStyle w:val="FootnoteReference"/>
        </w:rPr>
        <w:footnoteReference w:id="43"/>
      </w:r>
      <w:r w:rsidR="00517D2B">
        <w:rPr>
          <w:lang w:val="en-US"/>
        </w:rPr>
        <w:t xml:space="preserve"> </w:t>
      </w:r>
      <w:r w:rsidR="00B32BFF">
        <w:rPr>
          <w:lang w:val="en-US"/>
        </w:rPr>
        <w:t>This example shows how the unbounded character of cyberspace combined with intelligence embedded in objects, bypasses the traditional boundaries of the home</w:t>
      </w:r>
      <w:r w:rsidR="00606C1F">
        <w:rPr>
          <w:lang w:val="en-US"/>
        </w:rPr>
        <w:t xml:space="preserve"> and </w:t>
      </w:r>
      <w:r w:rsidR="000505A9">
        <w:rPr>
          <w:lang w:val="en-US"/>
        </w:rPr>
        <w:t xml:space="preserve">quietly </w:t>
      </w:r>
      <w:r w:rsidR="00606C1F">
        <w:rPr>
          <w:lang w:val="en-US"/>
        </w:rPr>
        <w:t>penetrates the private sphere of citizens.</w:t>
      </w:r>
    </w:p>
    <w:p w:rsidR="00E232BA" w:rsidRDefault="005526DB" w:rsidP="00010A94">
      <w:pPr>
        <w:rPr>
          <w:lang w:val="en-US"/>
        </w:rPr>
      </w:pPr>
      <w:r>
        <w:rPr>
          <w:lang w:val="en-US"/>
        </w:rPr>
        <w:t xml:space="preserve">Although </w:t>
      </w:r>
      <w:r w:rsidR="00501CAD">
        <w:rPr>
          <w:lang w:val="en-US"/>
        </w:rPr>
        <w:t>most challenges</w:t>
      </w:r>
      <w:r w:rsidR="00606C1F">
        <w:rPr>
          <w:lang w:val="en-US"/>
        </w:rPr>
        <w:t xml:space="preserve"> in the </w:t>
      </w:r>
      <w:r w:rsidR="00606C1F" w:rsidRPr="00606C1F">
        <w:rPr>
          <w:lang w:val="en-US"/>
        </w:rPr>
        <w:t xml:space="preserve">ICT Work </w:t>
      </w:r>
      <w:proofErr w:type="spellStart"/>
      <w:r w:rsidR="00606C1F" w:rsidRPr="00606C1F">
        <w:rPr>
          <w:lang w:val="en-US"/>
        </w:rPr>
        <w:t>Programme</w:t>
      </w:r>
      <w:proofErr w:type="spellEnd"/>
      <w:r w:rsidR="00606C1F">
        <w:rPr>
          <w:lang w:val="en-US"/>
        </w:rPr>
        <w:t xml:space="preserve"> are</w:t>
      </w:r>
      <w:r>
        <w:rPr>
          <w:lang w:val="en-US"/>
        </w:rPr>
        <w:t xml:space="preserve"> not explicitly brought under the scope of the </w:t>
      </w:r>
      <w:proofErr w:type="spellStart"/>
      <w:r>
        <w:rPr>
          <w:lang w:val="en-US"/>
        </w:rPr>
        <w:t>IoT</w:t>
      </w:r>
      <w:proofErr w:type="spellEnd"/>
      <w:r>
        <w:rPr>
          <w:lang w:val="en-US"/>
        </w:rPr>
        <w:t xml:space="preserve">, </w:t>
      </w:r>
      <w:r w:rsidR="00501CAD">
        <w:rPr>
          <w:lang w:val="en-US"/>
        </w:rPr>
        <w:t>they are all</w:t>
      </w:r>
      <w:r>
        <w:rPr>
          <w:lang w:val="en-US"/>
        </w:rPr>
        <w:t xml:space="preserve"> directly or indirectly related. </w:t>
      </w:r>
      <w:r w:rsidR="00501CAD">
        <w:rPr>
          <w:lang w:val="en-US"/>
        </w:rPr>
        <w:t>“Cognitive systems and robotics”, “alternative paths to components and systems”, “technologies for digital content and languages”,</w:t>
      </w:r>
      <w:r w:rsidR="00F86A32">
        <w:rPr>
          <w:lang w:val="en-US"/>
        </w:rPr>
        <w:t xml:space="preserve"> </w:t>
      </w:r>
      <w:r w:rsidR="00501CAD">
        <w:rPr>
          <w:lang w:val="en-US"/>
        </w:rPr>
        <w:t>“ICT for the enterprise and manufacturing”, “ICT for learning and access to cultural resources”, they are all</w:t>
      </w:r>
      <w:r w:rsidR="00855BE4">
        <w:rPr>
          <w:lang w:val="en-US"/>
        </w:rPr>
        <w:t xml:space="preserve"> more or less related with the </w:t>
      </w:r>
      <w:proofErr w:type="spellStart"/>
      <w:r w:rsidR="00855BE4">
        <w:rPr>
          <w:lang w:val="en-US"/>
        </w:rPr>
        <w:t>IoT</w:t>
      </w:r>
      <w:proofErr w:type="spellEnd"/>
      <w:r w:rsidR="00855BE4">
        <w:rPr>
          <w:lang w:val="en-US"/>
        </w:rPr>
        <w:t>.</w:t>
      </w:r>
      <w:r w:rsidR="00F86A32">
        <w:rPr>
          <w:lang w:val="en-US"/>
        </w:rPr>
        <w:t xml:space="preserve"> </w:t>
      </w:r>
      <w:r w:rsidR="00855BE4">
        <w:rPr>
          <w:lang w:val="en-US"/>
        </w:rPr>
        <w:t xml:space="preserve">E.g. convergence of the embedded and the Internet world, of </w:t>
      </w:r>
      <w:proofErr w:type="spellStart"/>
      <w:r w:rsidR="00855BE4">
        <w:rPr>
          <w:lang w:val="en-US"/>
        </w:rPr>
        <w:t>nanoelectronics</w:t>
      </w:r>
      <w:proofErr w:type="spellEnd"/>
      <w:r w:rsidR="00855BE4">
        <w:rPr>
          <w:lang w:val="en-US"/>
        </w:rPr>
        <w:t xml:space="preserve">, </w:t>
      </w:r>
      <w:proofErr w:type="spellStart"/>
      <w:r w:rsidR="00855BE4">
        <w:rPr>
          <w:lang w:val="en-US"/>
        </w:rPr>
        <w:t>nano</w:t>
      </w:r>
      <w:proofErr w:type="spellEnd"/>
      <w:r w:rsidR="00855BE4">
        <w:rPr>
          <w:lang w:val="en-US"/>
        </w:rPr>
        <w:t xml:space="preserve">-materials and ICT is mentioned in the challenge </w:t>
      </w:r>
      <w:r w:rsidR="00203AB3">
        <w:rPr>
          <w:lang w:val="en-US"/>
        </w:rPr>
        <w:t>“</w:t>
      </w:r>
      <w:r w:rsidR="00855BE4">
        <w:rPr>
          <w:lang w:val="en-US"/>
        </w:rPr>
        <w:t>Alternative Paths to Components and Systems</w:t>
      </w:r>
      <w:r w:rsidR="00203AB3">
        <w:rPr>
          <w:lang w:val="en-US"/>
        </w:rPr>
        <w:t xml:space="preserve">” and is not directly linked with the </w:t>
      </w:r>
      <w:proofErr w:type="spellStart"/>
      <w:r w:rsidR="00203AB3">
        <w:rPr>
          <w:lang w:val="en-US"/>
        </w:rPr>
        <w:t>IoT</w:t>
      </w:r>
      <w:proofErr w:type="spellEnd"/>
      <w:r w:rsidR="00855BE4">
        <w:rPr>
          <w:lang w:val="en-US"/>
        </w:rPr>
        <w:t xml:space="preserve">, </w:t>
      </w:r>
      <w:r w:rsidR="00203AB3">
        <w:rPr>
          <w:lang w:val="en-US"/>
        </w:rPr>
        <w:t>still it</w:t>
      </w:r>
      <w:r w:rsidR="00855BE4">
        <w:rPr>
          <w:lang w:val="en-US"/>
        </w:rPr>
        <w:t xml:space="preserve"> corresponds with the </w:t>
      </w:r>
      <w:r w:rsidR="00EA576D">
        <w:rPr>
          <w:lang w:val="en-US"/>
        </w:rPr>
        <w:t xml:space="preserve">central idea behind the </w:t>
      </w:r>
      <w:proofErr w:type="spellStart"/>
      <w:r w:rsidR="00EA576D">
        <w:rPr>
          <w:lang w:val="en-US"/>
        </w:rPr>
        <w:t>IoT</w:t>
      </w:r>
      <w:proofErr w:type="spellEnd"/>
      <w:r w:rsidR="00855BE4">
        <w:rPr>
          <w:lang w:val="en-US"/>
        </w:rPr>
        <w:t xml:space="preserve"> to </w:t>
      </w:r>
      <w:r w:rsidR="00EA3036">
        <w:rPr>
          <w:lang w:val="en-US"/>
        </w:rPr>
        <w:t>merge online and offline environments.</w:t>
      </w:r>
      <w:r w:rsidR="00EA3036">
        <w:rPr>
          <w:rStyle w:val="FootnoteReference"/>
          <w:lang w:val="en-US"/>
        </w:rPr>
        <w:footnoteReference w:id="44"/>
      </w:r>
      <w:r w:rsidR="00F86A32">
        <w:rPr>
          <w:lang w:val="en-US"/>
        </w:rPr>
        <w:t xml:space="preserve"> </w:t>
      </w:r>
      <w:r w:rsidR="00FE2810">
        <w:rPr>
          <w:lang w:val="en-US"/>
        </w:rPr>
        <w:t>Because i</w:t>
      </w:r>
      <w:r w:rsidR="008732B7">
        <w:rPr>
          <w:lang w:val="en-US"/>
        </w:rPr>
        <w:t xml:space="preserve">t is </w:t>
      </w:r>
      <w:r w:rsidR="00FE2810">
        <w:rPr>
          <w:lang w:val="en-US"/>
        </w:rPr>
        <w:t xml:space="preserve">not possible to draw a </w:t>
      </w:r>
      <w:r w:rsidR="00FE2810">
        <w:rPr>
          <w:lang w:val="en-US"/>
        </w:rPr>
        <w:lastRenderedPageBreak/>
        <w:t xml:space="preserve">straight line between </w:t>
      </w:r>
      <w:proofErr w:type="spellStart"/>
      <w:r w:rsidR="00FE2810">
        <w:rPr>
          <w:lang w:val="en-US"/>
        </w:rPr>
        <w:t>IoT</w:t>
      </w:r>
      <w:proofErr w:type="spellEnd"/>
      <w:r w:rsidR="00FE2810">
        <w:rPr>
          <w:lang w:val="en-US"/>
        </w:rPr>
        <w:t xml:space="preserve"> and non-</w:t>
      </w:r>
      <w:proofErr w:type="spellStart"/>
      <w:r w:rsidR="00FE2810">
        <w:rPr>
          <w:lang w:val="en-US"/>
        </w:rPr>
        <w:t>IoT</w:t>
      </w:r>
      <w:proofErr w:type="spellEnd"/>
      <w:r w:rsidR="00FE2810">
        <w:rPr>
          <w:lang w:val="en-US"/>
        </w:rPr>
        <w:t xml:space="preserve"> projects</w:t>
      </w:r>
      <w:r w:rsidR="0034459F">
        <w:rPr>
          <w:lang w:val="en-US"/>
        </w:rPr>
        <w:t xml:space="preserve">, it is impossible to </w:t>
      </w:r>
      <w:r w:rsidR="008732B7">
        <w:rPr>
          <w:lang w:val="en-US"/>
        </w:rPr>
        <w:t xml:space="preserve">give an exact number of funding that is invested in the </w:t>
      </w:r>
      <w:proofErr w:type="spellStart"/>
      <w:r w:rsidR="008732B7">
        <w:rPr>
          <w:lang w:val="en-US"/>
        </w:rPr>
        <w:t>IoT</w:t>
      </w:r>
      <w:proofErr w:type="spellEnd"/>
      <w:r w:rsidR="008732B7">
        <w:rPr>
          <w:lang w:val="en-US"/>
        </w:rPr>
        <w:t xml:space="preserve"> by the EU. </w:t>
      </w:r>
      <w:r w:rsidR="0034459F">
        <w:rPr>
          <w:lang w:val="en-US"/>
        </w:rPr>
        <w:t>Another reason for this is the missing of an</w:t>
      </w:r>
      <w:r w:rsidR="008732B7">
        <w:rPr>
          <w:lang w:val="en-US"/>
        </w:rPr>
        <w:t xml:space="preserve"> unanimous definition</w:t>
      </w:r>
      <w:r w:rsidR="00567659">
        <w:rPr>
          <w:lang w:val="en-US"/>
        </w:rPr>
        <w:t xml:space="preserve"> </w:t>
      </w:r>
      <w:r w:rsidR="008732B7">
        <w:rPr>
          <w:lang w:val="en-US"/>
        </w:rPr>
        <w:t xml:space="preserve">of the </w:t>
      </w:r>
      <w:proofErr w:type="spellStart"/>
      <w:r w:rsidR="008732B7">
        <w:rPr>
          <w:lang w:val="en-US"/>
        </w:rPr>
        <w:t>IoT</w:t>
      </w:r>
      <w:proofErr w:type="spellEnd"/>
      <w:r w:rsidR="00386EAE">
        <w:rPr>
          <w:lang w:val="en-US"/>
        </w:rPr>
        <w:t>. Direct funding is estimated a</w:t>
      </w:r>
      <w:r w:rsidR="00947630">
        <w:rPr>
          <w:lang w:val="en-US"/>
        </w:rPr>
        <w:t>bout</w:t>
      </w:r>
      <w:r w:rsidR="00386EAE">
        <w:rPr>
          <w:lang w:val="en-US"/>
        </w:rPr>
        <w:t xml:space="preserve"> €70 million</w:t>
      </w:r>
      <w:r w:rsidR="00386EAE">
        <w:rPr>
          <w:rStyle w:val="FootnoteReference"/>
          <w:lang w:val="en-US"/>
        </w:rPr>
        <w:footnoteReference w:id="45"/>
      </w:r>
      <w:r w:rsidR="00947630">
        <w:rPr>
          <w:lang w:val="en-US"/>
        </w:rPr>
        <w:t>, while indirect funding can go into hundreds of millions</w:t>
      </w:r>
      <w:r w:rsidR="00947630">
        <w:rPr>
          <w:rStyle w:val="FootnoteReference"/>
          <w:lang w:val="en-US"/>
        </w:rPr>
        <w:footnoteReference w:id="46"/>
      </w:r>
      <w:r w:rsidR="00947630">
        <w:rPr>
          <w:lang w:val="en-US"/>
        </w:rPr>
        <w:t xml:space="preserve"> or maybe even more.</w:t>
      </w:r>
    </w:p>
    <w:p w:rsidR="00AF590B" w:rsidRDefault="00E232BA">
      <w:pPr>
        <w:pStyle w:val="Heading3"/>
        <w:numPr>
          <w:ilvl w:val="1"/>
          <w:numId w:val="13"/>
        </w:numPr>
        <w:rPr>
          <w:lang w:val="en-US"/>
        </w:rPr>
      </w:pPr>
      <w:bookmarkStart w:id="13" w:name="_Toc347145357"/>
      <w:r>
        <w:rPr>
          <w:lang w:val="en-US"/>
        </w:rPr>
        <w:t>Interlocking security projects</w:t>
      </w:r>
      <w:bookmarkEnd w:id="13"/>
    </w:p>
    <w:p w:rsidR="00E232BA" w:rsidRDefault="00E232BA" w:rsidP="00E232BA">
      <w:pPr>
        <w:rPr>
          <w:lang w:val="en-US"/>
        </w:rPr>
      </w:pPr>
      <w:r>
        <w:rPr>
          <w:lang w:val="en-US"/>
        </w:rPr>
        <w:t xml:space="preserve">Besides </w:t>
      </w:r>
      <w:proofErr w:type="spellStart"/>
      <w:r>
        <w:rPr>
          <w:lang w:val="en-US"/>
        </w:rPr>
        <w:t>IoT</w:t>
      </w:r>
      <w:proofErr w:type="spellEnd"/>
      <w:r>
        <w:rPr>
          <w:lang w:val="en-US"/>
        </w:rPr>
        <w:t>-projects</w:t>
      </w:r>
      <w:r w:rsidR="00F86A32">
        <w:rPr>
          <w:lang w:val="en-US"/>
        </w:rPr>
        <w:t xml:space="preserve"> </w:t>
      </w:r>
      <w:r>
        <w:rPr>
          <w:lang w:val="en-US"/>
        </w:rPr>
        <w:t xml:space="preserve">there are also specific security projects that do not directly relate to the </w:t>
      </w:r>
      <w:proofErr w:type="spellStart"/>
      <w:r>
        <w:rPr>
          <w:lang w:val="en-US"/>
        </w:rPr>
        <w:t>IoT</w:t>
      </w:r>
      <w:proofErr w:type="spellEnd"/>
      <w:r>
        <w:rPr>
          <w:lang w:val="en-US"/>
        </w:rPr>
        <w:t xml:space="preserve">, still these projects indicate how </w:t>
      </w:r>
      <w:proofErr w:type="spellStart"/>
      <w:r>
        <w:rPr>
          <w:lang w:val="en-US"/>
        </w:rPr>
        <w:t>IoT</w:t>
      </w:r>
      <w:proofErr w:type="spellEnd"/>
      <w:r>
        <w:rPr>
          <w:lang w:val="en-US"/>
        </w:rPr>
        <w:t xml:space="preserve">-developments interlock with surveillance-ambitions. </w:t>
      </w:r>
      <w:r w:rsidRPr="00B86F6E">
        <w:rPr>
          <w:lang w:val="en-US"/>
        </w:rPr>
        <w:t>In 2004</w:t>
      </w:r>
      <w:r>
        <w:rPr>
          <w:lang w:val="en-US"/>
        </w:rPr>
        <w:t>,</w:t>
      </w:r>
      <w:r w:rsidRPr="00B86F6E">
        <w:rPr>
          <w:lang w:val="en-US"/>
        </w:rPr>
        <w:t xml:space="preserve"> the </w:t>
      </w:r>
      <w:r>
        <w:rPr>
          <w:lang w:val="en-US"/>
        </w:rPr>
        <w:t>Commission</w:t>
      </w:r>
      <w:r w:rsidRPr="00B86F6E">
        <w:rPr>
          <w:lang w:val="en-US"/>
        </w:rPr>
        <w:t xml:space="preserve"> put together a Group of Personalities </w:t>
      </w:r>
      <w:r>
        <w:rPr>
          <w:lang w:val="en-US"/>
        </w:rPr>
        <w:t>(</w:t>
      </w:r>
      <w:proofErr w:type="spellStart"/>
      <w:r w:rsidRPr="00B86F6E">
        <w:rPr>
          <w:lang w:val="en-US"/>
        </w:rPr>
        <w:t>GoP</w:t>
      </w:r>
      <w:proofErr w:type="spellEnd"/>
      <w:r w:rsidRPr="00B86F6E">
        <w:rPr>
          <w:lang w:val="en-US"/>
        </w:rPr>
        <w:t xml:space="preserve">) that insisted on more public funding for research and technology, through which </w:t>
      </w:r>
      <w:smartTag w:uri="urn:schemas-microsoft-com:office:smarttags" w:element="place">
        <w:r w:rsidRPr="00B86F6E">
          <w:rPr>
            <w:lang w:val="en-US"/>
          </w:rPr>
          <w:t>Europe</w:t>
        </w:r>
      </w:smartTag>
      <w:r w:rsidRPr="00B86F6E">
        <w:rPr>
          <w:lang w:val="en-US"/>
        </w:rPr>
        <w:t xml:space="preserve"> could be made more secure for its citizens.</w:t>
      </w:r>
      <w:r>
        <w:rPr>
          <w:rStyle w:val="FootnoteReference"/>
        </w:rPr>
        <w:footnoteReference w:id="47"/>
      </w:r>
      <w:r w:rsidRPr="00B86F6E">
        <w:rPr>
          <w:lang w:val="en-US"/>
        </w:rPr>
        <w:t xml:space="preserve"> A lot of these personalities </w:t>
      </w:r>
      <w:r w:rsidR="00877E0A">
        <w:rPr>
          <w:lang w:val="en-US"/>
        </w:rPr>
        <w:t>were</w:t>
      </w:r>
      <w:r w:rsidR="00877E0A" w:rsidRPr="00B86F6E">
        <w:rPr>
          <w:lang w:val="en-US"/>
        </w:rPr>
        <w:t xml:space="preserve"> </w:t>
      </w:r>
      <w:r w:rsidRPr="00B86F6E">
        <w:rPr>
          <w:lang w:val="en-US"/>
        </w:rPr>
        <w:t xml:space="preserve">heavily involved in the security and military industry, which gives their advice a </w:t>
      </w:r>
      <w:r>
        <w:rPr>
          <w:lang w:val="en-US"/>
        </w:rPr>
        <w:t>tone</w:t>
      </w:r>
      <w:r w:rsidRPr="00B86F6E">
        <w:rPr>
          <w:lang w:val="en-US"/>
        </w:rPr>
        <w:t xml:space="preserve"> of </w:t>
      </w:r>
      <w:r w:rsidRPr="007A2589">
        <w:rPr>
          <w:lang w:val="en-US"/>
        </w:rPr>
        <w:t>“</w:t>
      </w:r>
      <w:r>
        <w:rPr>
          <w:lang w:val="en-US"/>
        </w:rPr>
        <w:t>we</w:t>
      </w:r>
      <w:r w:rsidRPr="007A2589">
        <w:rPr>
          <w:lang w:val="en-US"/>
        </w:rPr>
        <w:t>, the people of the security industry, recommend to you more security!”</w:t>
      </w:r>
      <w:r w:rsidRPr="007A2589">
        <w:rPr>
          <w:rStyle w:val="FootnoteReference"/>
        </w:rPr>
        <w:footnoteReference w:id="48"/>
      </w:r>
      <w:r w:rsidRPr="00B86F6E">
        <w:rPr>
          <w:lang w:val="en-US"/>
        </w:rPr>
        <w:t xml:space="preserve"> </w:t>
      </w:r>
      <w:r>
        <w:rPr>
          <w:lang w:val="en-US"/>
        </w:rPr>
        <w:t>T</w:t>
      </w:r>
      <w:r w:rsidRPr="00B86F6E">
        <w:rPr>
          <w:lang w:val="en-US"/>
        </w:rPr>
        <w:t xml:space="preserve">his did not seem to bother the </w:t>
      </w:r>
      <w:r>
        <w:rPr>
          <w:lang w:val="en-US"/>
        </w:rPr>
        <w:t>Commission</w:t>
      </w:r>
      <w:r w:rsidRPr="00B86F6E">
        <w:rPr>
          <w:lang w:val="en-US"/>
        </w:rPr>
        <w:t xml:space="preserve">. In 2004 </w:t>
      </w:r>
      <w:r>
        <w:rPr>
          <w:lang w:val="en-US"/>
        </w:rPr>
        <w:t>it</w:t>
      </w:r>
      <w:r w:rsidRPr="00B86F6E">
        <w:rPr>
          <w:lang w:val="en-US"/>
        </w:rPr>
        <w:t xml:space="preserve"> published a </w:t>
      </w:r>
      <w:r w:rsidR="00877E0A">
        <w:rPr>
          <w:lang w:val="en-US"/>
        </w:rPr>
        <w:t>C</w:t>
      </w:r>
      <w:r w:rsidRPr="00B86F6E">
        <w:rPr>
          <w:lang w:val="en-US"/>
        </w:rPr>
        <w:t>ommunication</w:t>
      </w:r>
      <w:r>
        <w:rPr>
          <w:rStyle w:val="FootnoteReference"/>
        </w:rPr>
        <w:footnoteReference w:id="49"/>
      </w:r>
      <w:r w:rsidRPr="00B86F6E">
        <w:rPr>
          <w:lang w:val="en-US"/>
        </w:rPr>
        <w:t xml:space="preserve"> in which </w:t>
      </w:r>
      <w:r>
        <w:rPr>
          <w:lang w:val="en-US"/>
        </w:rPr>
        <w:t>it</w:t>
      </w:r>
      <w:r w:rsidRPr="00B86F6E">
        <w:rPr>
          <w:lang w:val="en-US"/>
        </w:rPr>
        <w:t xml:space="preserve"> almost literally repeated the report of the </w:t>
      </w:r>
      <w:proofErr w:type="spellStart"/>
      <w:r w:rsidRPr="00B86F6E">
        <w:rPr>
          <w:lang w:val="en-US"/>
        </w:rPr>
        <w:t>GoP</w:t>
      </w:r>
      <w:proofErr w:type="spellEnd"/>
      <w:r w:rsidRPr="00B86F6E">
        <w:rPr>
          <w:lang w:val="en-US"/>
        </w:rPr>
        <w:t xml:space="preserve">: </w:t>
      </w:r>
      <w:r w:rsidRPr="007A2589">
        <w:rPr>
          <w:lang w:val="en-US"/>
        </w:rPr>
        <w:t>“Political, societal and technological developments have created a fluid security environment where risks and vulnerabilities are more diverse and less visible.”</w:t>
      </w:r>
      <w:r w:rsidRPr="007A2589">
        <w:rPr>
          <w:rStyle w:val="FootnoteReference"/>
        </w:rPr>
        <w:footnoteReference w:id="50"/>
      </w:r>
      <w:r w:rsidRPr="00B86F6E">
        <w:rPr>
          <w:i/>
          <w:lang w:val="en-US"/>
        </w:rPr>
        <w:t xml:space="preserve"> </w:t>
      </w:r>
      <w:r w:rsidRPr="00B86F6E">
        <w:rPr>
          <w:lang w:val="en-US"/>
        </w:rPr>
        <w:t xml:space="preserve">On page 5 of this communication the </w:t>
      </w:r>
      <w:r>
        <w:rPr>
          <w:lang w:val="en-US"/>
        </w:rPr>
        <w:t>Commission</w:t>
      </w:r>
      <w:r w:rsidRPr="00B86F6E">
        <w:rPr>
          <w:lang w:val="en-US"/>
        </w:rPr>
        <w:t xml:space="preserve"> sa</w:t>
      </w:r>
      <w:r>
        <w:rPr>
          <w:lang w:val="en-US"/>
        </w:rPr>
        <w:t>y</w:t>
      </w:r>
      <w:r w:rsidRPr="00B86F6E">
        <w:rPr>
          <w:lang w:val="en-US"/>
        </w:rPr>
        <w:t xml:space="preserve">s it welcomes the </w:t>
      </w:r>
      <w:proofErr w:type="spellStart"/>
      <w:r w:rsidRPr="00B86F6E">
        <w:rPr>
          <w:lang w:val="en-US"/>
        </w:rPr>
        <w:t>GoP</w:t>
      </w:r>
      <w:proofErr w:type="spellEnd"/>
      <w:r w:rsidRPr="00B86F6E">
        <w:rPr>
          <w:lang w:val="en-US"/>
        </w:rPr>
        <w:t xml:space="preserve"> report</w:t>
      </w:r>
      <w:r>
        <w:rPr>
          <w:lang w:val="en-US"/>
        </w:rPr>
        <w:t>,</w:t>
      </w:r>
      <w:r w:rsidRPr="00B86F6E">
        <w:rPr>
          <w:lang w:val="en-US"/>
        </w:rPr>
        <w:t xml:space="preserve"> that it subscribes to the main thrust of the recommendations and orientations, and that </w:t>
      </w:r>
      <w:r>
        <w:rPr>
          <w:lang w:val="en-US"/>
        </w:rPr>
        <w:t>it will</w:t>
      </w:r>
      <w:r w:rsidRPr="00B86F6E">
        <w:rPr>
          <w:lang w:val="en-US"/>
        </w:rPr>
        <w:t>, in collaboration with the stakeholders</w:t>
      </w:r>
      <w:r>
        <w:rPr>
          <w:lang w:val="en-US"/>
        </w:rPr>
        <w:t>,</w:t>
      </w:r>
      <w:r w:rsidRPr="00B86F6E">
        <w:rPr>
          <w:lang w:val="en-US"/>
        </w:rPr>
        <w:t xml:space="preserve"> undertake necessary actions </w:t>
      </w:r>
      <w:r>
        <w:rPr>
          <w:lang w:val="en-US"/>
        </w:rPr>
        <w:t>including</w:t>
      </w:r>
      <w:r w:rsidRPr="00B86F6E">
        <w:rPr>
          <w:lang w:val="en-US"/>
        </w:rPr>
        <w:t xml:space="preserve"> the establishment of a European Security Research </w:t>
      </w:r>
      <w:proofErr w:type="spellStart"/>
      <w:r w:rsidRPr="00B86F6E">
        <w:rPr>
          <w:lang w:val="en-US"/>
        </w:rPr>
        <w:t>Programme</w:t>
      </w:r>
      <w:proofErr w:type="spellEnd"/>
      <w:r w:rsidRPr="00B86F6E">
        <w:rPr>
          <w:lang w:val="en-US"/>
        </w:rPr>
        <w:t xml:space="preserve"> (ESRP) as part of </w:t>
      </w:r>
      <w:r>
        <w:rPr>
          <w:lang w:val="en-US"/>
        </w:rPr>
        <w:t>FP7</w:t>
      </w:r>
      <w:r w:rsidRPr="00B86F6E">
        <w:rPr>
          <w:lang w:val="en-US"/>
        </w:rPr>
        <w:t>.</w:t>
      </w:r>
      <w:r>
        <w:rPr>
          <w:lang w:val="en-US"/>
        </w:rPr>
        <w:t xml:space="preserve"> In FP7 the Commission reserved € 1.4 billion for security research alone. “Making Europe more secure for its citizens while increasing its industrial competitiveness, is the goal of European Security Research.”</w:t>
      </w:r>
      <w:r>
        <w:rPr>
          <w:rStyle w:val="FootnoteReference"/>
          <w:lang w:val="en-US"/>
        </w:rPr>
        <w:footnoteReference w:id="51"/>
      </w:r>
      <w:r>
        <w:rPr>
          <w:lang w:val="en-US"/>
        </w:rPr>
        <w:t xml:space="preserve"> </w:t>
      </w:r>
    </w:p>
    <w:p w:rsidR="00AE268F" w:rsidRDefault="00E232BA" w:rsidP="00010A94">
      <w:pPr>
        <w:rPr>
          <w:lang w:val="en-US"/>
        </w:rPr>
      </w:pPr>
      <w:r>
        <w:rPr>
          <w:lang w:val="en-US"/>
        </w:rPr>
        <w:t xml:space="preserve">For the length of this paper I will limit myself to give only one example of </w:t>
      </w:r>
      <w:r w:rsidR="008103C6">
        <w:rPr>
          <w:lang w:val="en-US"/>
        </w:rPr>
        <w:t>what I believe is the</w:t>
      </w:r>
      <w:r>
        <w:rPr>
          <w:lang w:val="en-US"/>
        </w:rPr>
        <w:t xml:space="preserve"> most remarkable security project within this program,</w:t>
      </w:r>
      <w:r w:rsidR="008103C6">
        <w:rPr>
          <w:lang w:val="en-US"/>
        </w:rPr>
        <w:t xml:space="preserve"> INDECT</w:t>
      </w:r>
      <w:r>
        <w:rPr>
          <w:lang w:val="en-US"/>
        </w:rPr>
        <w:t>. According to the current site</w:t>
      </w:r>
      <w:r w:rsidR="00877E0A">
        <w:rPr>
          <w:lang w:val="en-US"/>
        </w:rPr>
        <w:t xml:space="preserve"> of the Commission</w:t>
      </w:r>
      <w:r>
        <w:rPr>
          <w:lang w:val="en-US"/>
        </w:rPr>
        <w:t xml:space="preserve"> this project aims at improving accuracy of existing video surveillance through the development of algor</w:t>
      </w:r>
      <w:r w:rsidR="002D246D">
        <w:rPr>
          <w:lang w:val="en-US"/>
        </w:rPr>
        <w:t>i</w:t>
      </w:r>
      <w:r>
        <w:rPr>
          <w:lang w:val="en-US"/>
        </w:rPr>
        <w:t>thms that identify dangerous and criminal behavior in public.</w:t>
      </w:r>
      <w:r w:rsidRPr="00C013F2">
        <w:rPr>
          <w:rStyle w:val="FootnoteReference"/>
          <w:lang w:val="en-US"/>
        </w:rPr>
        <w:t xml:space="preserve"> </w:t>
      </w:r>
      <w:r>
        <w:rPr>
          <w:rStyle w:val="FootnoteReference"/>
          <w:lang w:val="en-US"/>
        </w:rPr>
        <w:footnoteReference w:id="52"/>
      </w:r>
      <w:r>
        <w:rPr>
          <w:lang w:val="en-US"/>
        </w:rPr>
        <w:t xml:space="preserve"> The page emphasizes that there is not a plan for a European wide Orwellian surveilla</w:t>
      </w:r>
      <w:r w:rsidR="008103C6">
        <w:rPr>
          <w:lang w:val="en-US"/>
        </w:rPr>
        <w:t>nce system and that there is no</w:t>
      </w:r>
      <w:r>
        <w:rPr>
          <w:lang w:val="en-US"/>
        </w:rPr>
        <w:t xml:space="preserve"> secret information that has not been published, everything can be found on the website. However, </w:t>
      </w:r>
      <w:r w:rsidR="008103C6">
        <w:rPr>
          <w:lang w:val="en-US"/>
        </w:rPr>
        <w:t xml:space="preserve">they forgot to mention that </w:t>
      </w:r>
      <w:r>
        <w:rPr>
          <w:lang w:val="en-US"/>
        </w:rPr>
        <w:t xml:space="preserve">there was a previous website online that was heavily </w:t>
      </w:r>
      <w:r>
        <w:rPr>
          <w:lang w:val="en-US"/>
        </w:rPr>
        <w:lastRenderedPageBreak/>
        <w:t xml:space="preserve">renovated, including </w:t>
      </w:r>
      <w:r w:rsidR="008103C6">
        <w:rPr>
          <w:lang w:val="en-US"/>
        </w:rPr>
        <w:t>the disappearance of the documents concerning all deliverables</w:t>
      </w:r>
      <w:r>
        <w:rPr>
          <w:lang w:val="en-US"/>
        </w:rPr>
        <w:t xml:space="preserve">, when critical reactions started to pop up. Luckily these </w:t>
      </w:r>
      <w:proofErr w:type="spellStart"/>
      <w:r>
        <w:rPr>
          <w:lang w:val="en-US"/>
        </w:rPr>
        <w:t>pdf’s</w:t>
      </w:r>
      <w:proofErr w:type="spellEnd"/>
      <w:r>
        <w:rPr>
          <w:lang w:val="en-US"/>
        </w:rPr>
        <w:t xml:space="preserve"> are easily to recover on the web.</w:t>
      </w:r>
      <w:r>
        <w:rPr>
          <w:rStyle w:val="FootnoteReference"/>
          <w:lang w:val="en-US"/>
        </w:rPr>
        <w:footnoteReference w:id="53"/>
      </w:r>
      <w:r>
        <w:rPr>
          <w:lang w:val="en-US"/>
        </w:rPr>
        <w:t xml:space="preserve"> They match the originals I downloaded from the first INDECT-site, in case the reader questions the authenticity of these files. The original acronym Intelligent Information </w:t>
      </w:r>
      <w:proofErr w:type="spellStart"/>
      <w:r>
        <w:rPr>
          <w:lang w:val="en-US"/>
        </w:rPr>
        <w:t>Sytem</w:t>
      </w:r>
      <w:proofErr w:type="spellEnd"/>
      <w:r>
        <w:rPr>
          <w:lang w:val="en-US"/>
        </w:rPr>
        <w:t xml:space="preserve"> Supporting Observation, Searching and Detection for Security of Citizens in Urban Environment, missing on the current website</w:t>
      </w:r>
      <w:r>
        <w:rPr>
          <w:rStyle w:val="FootnoteReference"/>
          <w:lang w:val="en-US"/>
        </w:rPr>
        <w:footnoteReference w:id="54"/>
      </w:r>
      <w:r>
        <w:rPr>
          <w:lang w:val="en-US"/>
        </w:rPr>
        <w:t xml:space="preserve">, can be found on the front page of this </w:t>
      </w:r>
      <w:proofErr w:type="spellStart"/>
      <w:r>
        <w:rPr>
          <w:lang w:val="en-US"/>
        </w:rPr>
        <w:t>pdf</w:t>
      </w:r>
      <w:proofErr w:type="spellEnd"/>
      <w:r>
        <w:rPr>
          <w:lang w:val="en-US"/>
        </w:rPr>
        <w:t>. The aim of INDECT’s “Work package 4” is to develop technologies to facilitate the building of an Internet base</w:t>
      </w:r>
      <w:r w:rsidR="00877E0A">
        <w:rPr>
          <w:lang w:val="en-US"/>
        </w:rPr>
        <w:t>d</w:t>
      </w:r>
      <w:r>
        <w:rPr>
          <w:lang w:val="en-US"/>
        </w:rPr>
        <w:t xml:space="preserve"> intelligence gathering system, objective 4.1 talks about a relationship mining system through websites and social networks.</w:t>
      </w:r>
      <w:r>
        <w:rPr>
          <w:rStyle w:val="FootnoteReference"/>
          <w:lang w:val="en-US"/>
        </w:rPr>
        <w:footnoteReference w:id="55"/>
      </w:r>
      <w:r>
        <w:rPr>
          <w:lang w:val="en-US"/>
        </w:rPr>
        <w:t xml:space="preserve"> </w:t>
      </w:r>
      <w:r w:rsidR="00877E0A">
        <w:rPr>
          <w:lang w:val="en-US"/>
        </w:rPr>
        <w:t>Imagine</w:t>
      </w:r>
      <w:r w:rsidR="00DA2646">
        <w:rPr>
          <w:lang w:val="en-US"/>
        </w:rPr>
        <w:t xml:space="preserve"> what the impact on privacy will be if</w:t>
      </w:r>
      <w:r>
        <w:rPr>
          <w:lang w:val="en-US"/>
        </w:rPr>
        <w:t xml:space="preserve"> </w:t>
      </w:r>
      <w:r w:rsidR="00DA2646">
        <w:rPr>
          <w:lang w:val="en-US"/>
        </w:rPr>
        <w:t xml:space="preserve">the data used in </w:t>
      </w:r>
      <w:r>
        <w:rPr>
          <w:lang w:val="en-US"/>
        </w:rPr>
        <w:t xml:space="preserve">INDECT, or any other </w:t>
      </w:r>
      <w:r w:rsidR="00877E0A">
        <w:rPr>
          <w:lang w:val="en-US"/>
        </w:rPr>
        <w:t xml:space="preserve">surveillance </w:t>
      </w:r>
      <w:r>
        <w:rPr>
          <w:lang w:val="en-US"/>
        </w:rPr>
        <w:t xml:space="preserve">project that feeds on the Internet, is </w:t>
      </w:r>
      <w:r w:rsidR="00DA2646">
        <w:rPr>
          <w:lang w:val="en-US"/>
        </w:rPr>
        <w:t xml:space="preserve">fueled </w:t>
      </w:r>
      <w:r>
        <w:rPr>
          <w:lang w:val="en-US"/>
        </w:rPr>
        <w:t xml:space="preserve">by </w:t>
      </w:r>
      <w:proofErr w:type="spellStart"/>
      <w:r>
        <w:rPr>
          <w:lang w:val="en-US"/>
        </w:rPr>
        <w:t>IoT-</w:t>
      </w:r>
      <w:r w:rsidR="00DA2646">
        <w:rPr>
          <w:lang w:val="en-US"/>
        </w:rPr>
        <w:t>systems</w:t>
      </w:r>
      <w:r>
        <w:rPr>
          <w:lang w:val="en-US"/>
        </w:rPr>
        <w:t>that</w:t>
      </w:r>
      <w:proofErr w:type="spellEnd"/>
      <w:r>
        <w:rPr>
          <w:lang w:val="en-US"/>
        </w:rPr>
        <w:t xml:space="preserve"> autonomously sets flows of data in motion over the Internet</w:t>
      </w:r>
      <w:r w:rsidR="00DA2646">
        <w:rPr>
          <w:lang w:val="en-US"/>
        </w:rPr>
        <w:t>.</w:t>
      </w:r>
      <w:r>
        <w:rPr>
          <w:lang w:val="en-US"/>
        </w:rPr>
        <w:t xml:space="preserve"> </w:t>
      </w:r>
    </w:p>
    <w:p w:rsidR="00AF590B" w:rsidRDefault="002F256B">
      <w:pPr>
        <w:pStyle w:val="Heading2"/>
        <w:numPr>
          <w:ilvl w:val="0"/>
          <w:numId w:val="13"/>
        </w:numPr>
        <w:rPr>
          <w:lang w:val="en-US"/>
        </w:rPr>
      </w:pPr>
      <w:bookmarkStart w:id="14" w:name="_Toc347068603"/>
      <w:bookmarkStart w:id="15" w:name="_Toc347145358"/>
      <w:r>
        <w:rPr>
          <w:lang w:val="en-US"/>
        </w:rPr>
        <w:t>T</w:t>
      </w:r>
      <w:r w:rsidR="00CD0CA0">
        <w:rPr>
          <w:lang w:val="en-US"/>
        </w:rPr>
        <w:t>ransforming the face of surveillance</w:t>
      </w:r>
      <w:bookmarkEnd w:id="14"/>
      <w:bookmarkEnd w:id="15"/>
    </w:p>
    <w:p w:rsidR="00142057" w:rsidRDefault="004F4655" w:rsidP="00142057">
      <w:pPr>
        <w:rPr>
          <w:lang w:val="en-US"/>
        </w:rPr>
      </w:pPr>
      <w:r>
        <w:rPr>
          <w:lang w:val="en-US"/>
        </w:rPr>
        <w:t xml:space="preserve">Smart meters, smart devices, medical implants and other gadgets will set more and more data </w:t>
      </w:r>
      <w:r w:rsidR="00E232BA">
        <w:rPr>
          <w:lang w:val="en-US"/>
        </w:rPr>
        <w:t xml:space="preserve">flows </w:t>
      </w:r>
      <w:r>
        <w:rPr>
          <w:lang w:val="en-US"/>
        </w:rPr>
        <w:t>in motion. Surveillance technology will be omnipresent</w:t>
      </w:r>
      <w:r w:rsidR="008103C6">
        <w:rPr>
          <w:lang w:val="en-US"/>
        </w:rPr>
        <w:t xml:space="preserve"> in the future</w:t>
      </w:r>
      <w:r>
        <w:rPr>
          <w:lang w:val="en-US"/>
        </w:rPr>
        <w:t xml:space="preserve">. </w:t>
      </w:r>
      <w:r w:rsidR="00142057" w:rsidRPr="00C67826">
        <w:rPr>
          <w:lang w:val="en-US"/>
        </w:rPr>
        <w:t>Now what is the difference between placing</w:t>
      </w:r>
      <w:r w:rsidR="00F86A32">
        <w:rPr>
          <w:lang w:val="en-US"/>
        </w:rPr>
        <w:t xml:space="preserve"> </w:t>
      </w:r>
      <w:r w:rsidR="00142057" w:rsidRPr="00C67826">
        <w:rPr>
          <w:lang w:val="en-US"/>
        </w:rPr>
        <w:t>a piece of surveillance equipment and someone using a device that records exactly the same information? First of all, the use of surveillance equipment directly exposes</w:t>
      </w:r>
      <w:r w:rsidR="00F86A32">
        <w:rPr>
          <w:lang w:val="en-US"/>
        </w:rPr>
        <w:t xml:space="preserve"> </w:t>
      </w:r>
      <w:r w:rsidR="00142057" w:rsidRPr="00C67826">
        <w:rPr>
          <w:lang w:val="en-US"/>
        </w:rPr>
        <w:t xml:space="preserve">the data that is captured to the </w:t>
      </w:r>
      <w:r w:rsidR="00232282">
        <w:rPr>
          <w:lang w:val="en-US"/>
        </w:rPr>
        <w:t>entity</w:t>
      </w:r>
      <w:r w:rsidR="00142057" w:rsidRPr="00C67826">
        <w:rPr>
          <w:lang w:val="en-US"/>
        </w:rPr>
        <w:t xml:space="preserve"> that placed it there. The data that originates from a device that someone uses, first has to b</w:t>
      </w:r>
      <w:r w:rsidR="00142057">
        <w:rPr>
          <w:lang w:val="en-US"/>
        </w:rPr>
        <w:t xml:space="preserve">e </w:t>
      </w:r>
      <w:r w:rsidR="00DA2646">
        <w:rPr>
          <w:lang w:val="en-US"/>
        </w:rPr>
        <w:t>accessed</w:t>
      </w:r>
      <w:r w:rsidR="00142057">
        <w:rPr>
          <w:lang w:val="en-US"/>
        </w:rPr>
        <w:t>. Second</w:t>
      </w:r>
      <w:r w:rsidR="00142057" w:rsidRPr="00C67826">
        <w:rPr>
          <w:lang w:val="en-US"/>
        </w:rPr>
        <w:t xml:space="preserve">, the use of the device depends on a voluntary choice, still it is unsure how voluntary the </w:t>
      </w:r>
      <w:proofErr w:type="spellStart"/>
      <w:r w:rsidR="00142057" w:rsidRPr="00C67826">
        <w:rPr>
          <w:lang w:val="en-US"/>
        </w:rPr>
        <w:t>IoT</w:t>
      </w:r>
      <w:proofErr w:type="spellEnd"/>
      <w:r w:rsidR="00142057" w:rsidRPr="00C67826">
        <w:rPr>
          <w:lang w:val="en-US"/>
        </w:rPr>
        <w:t xml:space="preserve"> will be in the future, given the persuasive approach that is taken in many EU reports.</w:t>
      </w:r>
      <w:r w:rsidR="00142057">
        <w:rPr>
          <w:rStyle w:val="FootnoteReference"/>
        </w:rPr>
        <w:footnoteReference w:id="56"/>
      </w:r>
      <w:r w:rsidR="00142057" w:rsidRPr="00C67826">
        <w:rPr>
          <w:lang w:val="en-US"/>
        </w:rPr>
        <w:t xml:space="preserve"> Besides you could argue that most people are not aware of the invasive qualities of certain technology and it is unsure if they would still be using them if they knew about this. I do not have </w:t>
      </w:r>
      <w:r w:rsidR="002D246D">
        <w:rPr>
          <w:lang w:val="en-US"/>
        </w:rPr>
        <w:t xml:space="preserve">exact figures </w:t>
      </w:r>
      <w:r w:rsidR="00142057" w:rsidRPr="00C67826">
        <w:rPr>
          <w:lang w:val="en-US"/>
        </w:rPr>
        <w:t xml:space="preserve">to support this claim, but when I talk with people that are involved in the same field in academics, law and ICT, from either my own faculty or </w:t>
      </w:r>
      <w:r w:rsidR="002D246D">
        <w:rPr>
          <w:lang w:val="en-US"/>
        </w:rPr>
        <w:t xml:space="preserve">at </w:t>
      </w:r>
      <w:r w:rsidR="00142057" w:rsidRPr="00C67826">
        <w:rPr>
          <w:lang w:val="en-US"/>
        </w:rPr>
        <w:t xml:space="preserve">conferences I visit, </w:t>
      </w:r>
      <w:r w:rsidR="00DA2646">
        <w:rPr>
          <w:lang w:val="en-US"/>
        </w:rPr>
        <w:t>it is still the majority</w:t>
      </w:r>
      <w:r w:rsidR="00142057" w:rsidRPr="00C67826">
        <w:rPr>
          <w:lang w:val="en-US"/>
        </w:rPr>
        <w:t xml:space="preserve"> that </w:t>
      </w:r>
      <w:r w:rsidR="00DA2646">
        <w:rPr>
          <w:lang w:val="en-US"/>
        </w:rPr>
        <w:t>e.g.</w:t>
      </w:r>
      <w:r w:rsidR="00142057" w:rsidRPr="00C67826">
        <w:rPr>
          <w:lang w:val="en-US"/>
        </w:rPr>
        <w:t xml:space="preserve"> do</w:t>
      </w:r>
      <w:r w:rsidR="00DA2646">
        <w:rPr>
          <w:lang w:val="en-US"/>
        </w:rPr>
        <w:t>es</w:t>
      </w:r>
      <w:r w:rsidR="00142057" w:rsidRPr="00C67826">
        <w:rPr>
          <w:lang w:val="en-US"/>
        </w:rPr>
        <w:t xml:space="preserve"> not know that every mobile phone nowadays is equipped with a backdoor that allows the police to turn on the microphone or the camera.</w:t>
      </w:r>
      <w:r w:rsidR="00232282">
        <w:rPr>
          <w:rStyle w:val="FootnoteReference"/>
          <w:lang w:val="en-US"/>
        </w:rPr>
        <w:footnoteReference w:id="57"/>
      </w:r>
      <w:r w:rsidR="00142057" w:rsidRPr="00C67826">
        <w:rPr>
          <w:lang w:val="en-US"/>
        </w:rPr>
        <w:t xml:space="preserve"> This way the police can overhear every conversation you have in the proximity of your phone</w:t>
      </w:r>
      <w:r w:rsidR="00F86A32">
        <w:rPr>
          <w:lang w:val="en-US"/>
        </w:rPr>
        <w:t xml:space="preserve"> </w:t>
      </w:r>
      <w:r w:rsidR="00142057" w:rsidRPr="00C67826">
        <w:rPr>
          <w:lang w:val="en-US"/>
        </w:rPr>
        <w:t xml:space="preserve">even when it is </w:t>
      </w:r>
      <w:r w:rsidR="002D246D">
        <w:rPr>
          <w:lang w:val="en-US"/>
        </w:rPr>
        <w:t xml:space="preserve">switched </w:t>
      </w:r>
      <w:r w:rsidR="00142057" w:rsidRPr="00C67826">
        <w:rPr>
          <w:lang w:val="en-US"/>
        </w:rPr>
        <w:t>of</w:t>
      </w:r>
      <w:r w:rsidR="002D246D">
        <w:rPr>
          <w:lang w:val="en-US"/>
        </w:rPr>
        <w:t>f</w:t>
      </w:r>
      <w:r w:rsidR="00142057" w:rsidRPr="00C67826">
        <w:rPr>
          <w:lang w:val="en-US"/>
        </w:rPr>
        <w:t xml:space="preserve">. </w:t>
      </w:r>
      <w:r w:rsidR="00142057">
        <w:rPr>
          <w:lang w:val="en-US"/>
        </w:rPr>
        <w:t>This indicates how little is known about</w:t>
      </w:r>
      <w:r w:rsidR="00142057" w:rsidRPr="00C67826">
        <w:rPr>
          <w:lang w:val="en-US"/>
        </w:rPr>
        <w:t xml:space="preserve"> these facts</w:t>
      </w:r>
      <w:r w:rsidR="00142057">
        <w:rPr>
          <w:lang w:val="en-US"/>
        </w:rPr>
        <w:t xml:space="preserve"> by my peers, let alone the general public. </w:t>
      </w:r>
      <w:r w:rsidR="008103C6">
        <w:rPr>
          <w:lang w:val="en-US"/>
        </w:rPr>
        <w:t>T</w:t>
      </w:r>
      <w:r w:rsidR="000868C0">
        <w:rPr>
          <w:lang w:val="en-US"/>
        </w:rPr>
        <w:t>he third differen</w:t>
      </w:r>
      <w:r w:rsidR="009F0023">
        <w:rPr>
          <w:lang w:val="en-US"/>
        </w:rPr>
        <w:t xml:space="preserve">ce is that the </w:t>
      </w:r>
      <w:proofErr w:type="spellStart"/>
      <w:r w:rsidR="009F0023">
        <w:rPr>
          <w:lang w:val="en-US"/>
        </w:rPr>
        <w:t>personsurvei</w:t>
      </w:r>
      <w:r w:rsidR="000868C0">
        <w:rPr>
          <w:lang w:val="en-US"/>
        </w:rPr>
        <w:t>led</w:t>
      </w:r>
      <w:proofErr w:type="spellEnd"/>
      <w:r w:rsidR="000868C0">
        <w:rPr>
          <w:lang w:val="en-US"/>
        </w:rPr>
        <w:t xml:space="preserve"> over probably </w:t>
      </w:r>
      <w:r w:rsidR="00DA2646">
        <w:rPr>
          <w:lang w:val="en-US"/>
        </w:rPr>
        <w:t>is</w:t>
      </w:r>
      <w:r w:rsidR="000868C0">
        <w:rPr>
          <w:lang w:val="en-US"/>
        </w:rPr>
        <w:t xml:space="preserve"> not aware of the presence of any surveillance equipment. This might make </w:t>
      </w:r>
      <w:r w:rsidR="00DA2646">
        <w:rPr>
          <w:lang w:val="en-US"/>
        </w:rPr>
        <w:t xml:space="preserve">him </w:t>
      </w:r>
      <w:r w:rsidR="000868C0">
        <w:rPr>
          <w:lang w:val="en-US"/>
        </w:rPr>
        <w:t xml:space="preserve">less careful. </w:t>
      </w:r>
      <w:r w:rsidR="002D246D">
        <w:rPr>
          <w:lang w:val="en-US"/>
        </w:rPr>
        <w:t>M</w:t>
      </w:r>
      <w:r w:rsidR="000868C0">
        <w:rPr>
          <w:lang w:val="en-US"/>
        </w:rPr>
        <w:t>ost p</w:t>
      </w:r>
      <w:r w:rsidR="00242E1E">
        <w:rPr>
          <w:lang w:val="en-US"/>
        </w:rPr>
        <w:t>eople surround themselves with s</w:t>
      </w:r>
      <w:r w:rsidR="000868C0">
        <w:rPr>
          <w:lang w:val="en-US"/>
        </w:rPr>
        <w:t xml:space="preserve">urveillance equipment without being aware of it. </w:t>
      </w:r>
      <w:r w:rsidR="004643BB">
        <w:rPr>
          <w:lang w:val="en-US"/>
        </w:rPr>
        <w:t xml:space="preserve">The more time passes by, the more people will become aware of the invasive character of the technology that surrounds them. Awareness </w:t>
      </w:r>
      <w:r w:rsidR="00CF7769">
        <w:rPr>
          <w:lang w:val="en-US"/>
        </w:rPr>
        <w:t xml:space="preserve">is one thing, but knowing exactly </w:t>
      </w:r>
      <w:r w:rsidR="004643BB">
        <w:rPr>
          <w:lang w:val="en-US"/>
        </w:rPr>
        <w:t xml:space="preserve">what </w:t>
      </w:r>
      <w:r w:rsidR="00CF7769">
        <w:rPr>
          <w:lang w:val="en-US"/>
        </w:rPr>
        <w:t>data is routed in what way by simply interacting with your environment</w:t>
      </w:r>
      <w:r w:rsidR="004643BB">
        <w:rPr>
          <w:lang w:val="en-US"/>
        </w:rPr>
        <w:t xml:space="preserve"> is another story.</w:t>
      </w:r>
      <w:r w:rsidR="003C5932">
        <w:rPr>
          <w:lang w:val="en-US"/>
        </w:rPr>
        <w:t xml:space="preserve"> </w:t>
      </w:r>
      <w:r w:rsidR="00CF7769">
        <w:rPr>
          <w:lang w:val="en-US"/>
        </w:rPr>
        <w:t>This inability to understand what is happening</w:t>
      </w:r>
      <w:r w:rsidR="000E520E">
        <w:rPr>
          <w:lang w:val="en-US"/>
        </w:rPr>
        <w:t xml:space="preserve"> around us, could have a paralyzing effect on people, as the sense is growing of “being helpless in face of the omnipresent, interconnected and internationalized surveillance”.</w:t>
      </w:r>
      <w:r w:rsidR="003C5932">
        <w:rPr>
          <w:rStyle w:val="FootnoteReference"/>
          <w:lang w:val="en-US"/>
        </w:rPr>
        <w:footnoteReference w:id="58"/>
      </w:r>
    </w:p>
    <w:p w:rsidR="003B74EA" w:rsidRDefault="003B74EA" w:rsidP="003B74EA">
      <w:pPr>
        <w:rPr>
          <w:lang w:val="en-US"/>
        </w:rPr>
      </w:pPr>
      <w:r>
        <w:rPr>
          <w:lang w:val="en-US"/>
        </w:rPr>
        <w:t xml:space="preserve">In a fully functioning </w:t>
      </w:r>
      <w:proofErr w:type="spellStart"/>
      <w:r>
        <w:rPr>
          <w:lang w:val="en-US"/>
        </w:rPr>
        <w:t>IoT</w:t>
      </w:r>
      <w:proofErr w:type="spellEnd"/>
      <w:r>
        <w:rPr>
          <w:lang w:val="en-US"/>
        </w:rPr>
        <w:t xml:space="preserve">, however, </w:t>
      </w:r>
      <w:r w:rsidR="00232282">
        <w:rPr>
          <w:lang w:val="en-US"/>
        </w:rPr>
        <w:t xml:space="preserve">the omnipresent </w:t>
      </w:r>
      <w:r w:rsidR="00045E6D">
        <w:rPr>
          <w:lang w:val="en-US"/>
        </w:rPr>
        <w:t>surveillance technology</w:t>
      </w:r>
      <w:r w:rsidR="00232282">
        <w:rPr>
          <w:lang w:val="en-US"/>
        </w:rPr>
        <w:t xml:space="preserve"> </w:t>
      </w:r>
      <w:r w:rsidR="00242E1E">
        <w:rPr>
          <w:lang w:val="en-US"/>
        </w:rPr>
        <w:t xml:space="preserve">is </w:t>
      </w:r>
      <w:r>
        <w:rPr>
          <w:lang w:val="en-US"/>
        </w:rPr>
        <w:t xml:space="preserve">only half the story. It would </w:t>
      </w:r>
      <w:r w:rsidR="00242E1E">
        <w:rPr>
          <w:lang w:val="en-US"/>
        </w:rPr>
        <w:t xml:space="preserve">for example </w:t>
      </w:r>
      <w:r>
        <w:rPr>
          <w:lang w:val="en-US"/>
        </w:rPr>
        <w:t>be in line with the vision of controlling objects through the Internet</w:t>
      </w:r>
      <w:r w:rsidRPr="001977EA">
        <w:rPr>
          <w:lang w:val="en-US"/>
        </w:rPr>
        <w:t xml:space="preserve"> to implement </w:t>
      </w:r>
      <w:r w:rsidRPr="001977EA">
        <w:rPr>
          <w:lang w:val="en-US"/>
        </w:rPr>
        <w:lastRenderedPageBreak/>
        <w:t>a function</w:t>
      </w:r>
      <w:r w:rsidR="00242E1E">
        <w:rPr>
          <w:lang w:val="en-US"/>
        </w:rPr>
        <w:t xml:space="preserve"> in the </w:t>
      </w:r>
      <w:proofErr w:type="spellStart"/>
      <w:r w:rsidR="00242E1E">
        <w:rPr>
          <w:lang w:val="en-US"/>
        </w:rPr>
        <w:t>eCall</w:t>
      </w:r>
      <w:proofErr w:type="spellEnd"/>
      <w:r w:rsidR="00242E1E">
        <w:rPr>
          <w:lang w:val="en-US"/>
        </w:rPr>
        <w:t>-system</w:t>
      </w:r>
      <w:r w:rsidRPr="001977EA">
        <w:rPr>
          <w:lang w:val="en-US"/>
        </w:rPr>
        <w:t xml:space="preserve"> that </w:t>
      </w:r>
      <w:r>
        <w:rPr>
          <w:lang w:val="en-US"/>
        </w:rPr>
        <w:t>c</w:t>
      </w:r>
      <w:r w:rsidR="00242E1E">
        <w:rPr>
          <w:lang w:val="en-US"/>
        </w:rPr>
        <w:t>ould remotely shut a</w:t>
      </w:r>
      <w:r w:rsidRPr="001977EA">
        <w:rPr>
          <w:lang w:val="en-US"/>
        </w:rPr>
        <w:t xml:space="preserve"> car down.</w:t>
      </w:r>
      <w:r w:rsidRPr="00211AB2">
        <w:rPr>
          <w:rStyle w:val="FootnoteReference"/>
        </w:rPr>
        <w:footnoteReference w:id="59"/>
      </w:r>
      <w:r>
        <w:rPr>
          <w:lang w:val="en-US"/>
        </w:rPr>
        <w:t xml:space="preserve"> </w:t>
      </w:r>
      <w:r w:rsidR="00045E6D">
        <w:rPr>
          <w:lang w:val="en-US"/>
        </w:rPr>
        <w:t>Fiction? No, a stone</w:t>
      </w:r>
      <w:r w:rsidR="003F17D1">
        <w:rPr>
          <w:lang w:val="en-US"/>
        </w:rPr>
        <w:t xml:space="preserve"> </w:t>
      </w:r>
      <w:r w:rsidR="00045E6D">
        <w:rPr>
          <w:lang w:val="en-US"/>
        </w:rPr>
        <w:t xml:space="preserve">cold reality that is already rolled out in the form of the new smart meters. </w:t>
      </w:r>
      <w:r>
        <w:rPr>
          <w:lang w:val="en-US"/>
        </w:rPr>
        <w:t xml:space="preserve">The vision of the </w:t>
      </w:r>
      <w:proofErr w:type="spellStart"/>
      <w:r>
        <w:rPr>
          <w:lang w:val="en-US"/>
        </w:rPr>
        <w:t>IoT</w:t>
      </w:r>
      <w:proofErr w:type="spellEnd"/>
      <w:r>
        <w:rPr>
          <w:lang w:val="en-US"/>
        </w:rPr>
        <w:t xml:space="preserve"> </w:t>
      </w:r>
      <w:r w:rsidR="00D56CEA">
        <w:rPr>
          <w:lang w:val="en-US"/>
        </w:rPr>
        <w:t>goes</w:t>
      </w:r>
      <w:r>
        <w:rPr>
          <w:lang w:val="en-US"/>
        </w:rPr>
        <w:t xml:space="preserve"> beyond passive surveillance, it creates an infrastructure that allows authorities to take measures from</w:t>
      </w:r>
      <w:r w:rsidR="00045E6D">
        <w:rPr>
          <w:lang w:val="en-US"/>
        </w:rPr>
        <w:t xml:space="preserve"> a distance that directly affects the lif</w:t>
      </w:r>
      <w:r>
        <w:rPr>
          <w:lang w:val="en-US"/>
        </w:rPr>
        <w:t xml:space="preserve">e of the citizen. This means a fundamental shift in the power relation between the private citizen and public authorities, which allows the latter to exercise power </w:t>
      </w:r>
      <w:r w:rsidR="002D246D">
        <w:rPr>
          <w:lang w:val="en-US"/>
        </w:rPr>
        <w:t xml:space="preserve">at </w:t>
      </w:r>
      <w:r>
        <w:rPr>
          <w:lang w:val="en-US"/>
        </w:rPr>
        <w:t xml:space="preserve">a distance. It seems that the invisible hand of the market </w:t>
      </w:r>
      <w:r w:rsidR="000E520E">
        <w:rPr>
          <w:lang w:val="en-US"/>
        </w:rPr>
        <w:t xml:space="preserve">is getting a buddy in </w:t>
      </w:r>
      <w:r w:rsidR="003F17D1">
        <w:rPr>
          <w:lang w:val="en-US"/>
        </w:rPr>
        <w:t>t</w:t>
      </w:r>
      <w:r w:rsidR="00045E6D">
        <w:rPr>
          <w:lang w:val="en-US"/>
        </w:rPr>
        <w:t>he form of the invisible hand of surveillance</w:t>
      </w:r>
      <w:r w:rsidR="00BA6849">
        <w:rPr>
          <w:lang w:val="en-US"/>
        </w:rPr>
        <w:t xml:space="preserve">, manifested in </w:t>
      </w:r>
      <w:proofErr w:type="spellStart"/>
      <w:r w:rsidR="00BA6849">
        <w:rPr>
          <w:lang w:val="en-US"/>
        </w:rPr>
        <w:t>the</w:t>
      </w:r>
      <w:r w:rsidR="00045E6D" w:rsidRPr="00287448">
        <w:rPr>
          <w:lang w:val="en-US"/>
        </w:rPr>
        <w:t>constant</w:t>
      </w:r>
      <w:proofErr w:type="spellEnd"/>
      <w:r w:rsidR="00045E6D" w:rsidRPr="00287448">
        <w:rPr>
          <w:lang w:val="en-US"/>
        </w:rPr>
        <w:t xml:space="preserve"> </w:t>
      </w:r>
      <w:r w:rsidR="00045E6D">
        <w:rPr>
          <w:lang w:val="en-US"/>
        </w:rPr>
        <w:t xml:space="preserve">threat of intangible </w:t>
      </w:r>
      <w:proofErr w:type="spellStart"/>
      <w:r w:rsidR="00045E6D">
        <w:rPr>
          <w:lang w:val="en-US"/>
        </w:rPr>
        <w:t>power</w:t>
      </w:r>
      <w:r w:rsidR="00D56CEA">
        <w:rPr>
          <w:lang w:val="en-US"/>
        </w:rPr>
        <w:t>that</w:t>
      </w:r>
      <w:proofErr w:type="spellEnd"/>
      <w:r w:rsidR="00D56CEA">
        <w:rPr>
          <w:lang w:val="en-US"/>
        </w:rPr>
        <w:t xml:space="preserve"> can be</w:t>
      </w:r>
      <w:r w:rsidR="00045E6D">
        <w:rPr>
          <w:lang w:val="en-US"/>
        </w:rPr>
        <w:t xml:space="preserve"> exercised against </w:t>
      </w:r>
      <w:r w:rsidR="00D56CEA">
        <w:rPr>
          <w:lang w:val="en-US"/>
        </w:rPr>
        <w:t>people</w:t>
      </w:r>
      <w:r w:rsidR="00045E6D">
        <w:rPr>
          <w:lang w:val="en-US"/>
        </w:rPr>
        <w:t xml:space="preserve">, when </w:t>
      </w:r>
      <w:r w:rsidR="00D56CEA">
        <w:rPr>
          <w:lang w:val="en-US"/>
        </w:rPr>
        <w:t xml:space="preserve">they </w:t>
      </w:r>
      <w:r w:rsidR="00045E6D">
        <w:rPr>
          <w:lang w:val="en-US"/>
        </w:rPr>
        <w:t xml:space="preserve">are not conforming </w:t>
      </w:r>
      <w:r w:rsidR="00D56CEA">
        <w:rPr>
          <w:lang w:val="en-US"/>
        </w:rPr>
        <w:t xml:space="preserve">their </w:t>
      </w:r>
      <w:r w:rsidR="00045E6D">
        <w:rPr>
          <w:lang w:val="en-US"/>
        </w:rPr>
        <w:t xml:space="preserve">behavior to the societal norms. </w:t>
      </w:r>
      <w:r w:rsidR="00BA6849">
        <w:rPr>
          <w:lang w:val="en-US"/>
        </w:rPr>
        <w:t xml:space="preserve">This thought interlocks in a way with the reason why </w:t>
      </w:r>
      <w:proofErr w:type="spellStart"/>
      <w:r w:rsidR="00BA6849">
        <w:rPr>
          <w:lang w:val="en-US"/>
        </w:rPr>
        <w:t>Lessig</w:t>
      </w:r>
      <w:proofErr w:type="spellEnd"/>
      <w:r w:rsidR="00BA6849">
        <w:rPr>
          <w:lang w:val="en-US"/>
        </w:rPr>
        <w:t xml:space="preserve"> believes that the Internet should not be governed by the market: “There is no reason to believe that the foundation for liberty in cyberspace will simply emerge…. we have every reason to believe that cyberspace, left to itself, will not fulfill the promise of freedom. Left to itself, cyberspace will become a perfect tool of control.”</w:t>
      </w:r>
      <w:r w:rsidR="00BA6849">
        <w:rPr>
          <w:rStyle w:val="FootnoteReference"/>
          <w:lang w:val="en-US"/>
        </w:rPr>
        <w:footnoteReference w:id="60"/>
      </w:r>
      <w:r w:rsidR="00BA6849">
        <w:rPr>
          <w:lang w:val="en-US"/>
        </w:rPr>
        <w:t xml:space="preserve"> </w:t>
      </w:r>
      <w:r w:rsidR="00045E6D">
        <w:rPr>
          <w:lang w:val="en-US"/>
        </w:rPr>
        <w:t xml:space="preserve">In the </w:t>
      </w:r>
      <w:proofErr w:type="spellStart"/>
      <w:r w:rsidR="00045E6D">
        <w:rPr>
          <w:lang w:val="en-US"/>
        </w:rPr>
        <w:t>panopticon</w:t>
      </w:r>
      <w:proofErr w:type="spellEnd"/>
      <w:r w:rsidR="00045E6D">
        <w:rPr>
          <w:lang w:val="en-US"/>
        </w:rPr>
        <w:t xml:space="preserve"> the aim was to discipline the prisoner through possible scrutiny, if deviant behavior was detected, action might be taken. Note that this form of surveillance takes the design of the </w:t>
      </w:r>
      <w:proofErr w:type="spellStart"/>
      <w:r w:rsidR="00045E6D">
        <w:rPr>
          <w:lang w:val="en-US"/>
        </w:rPr>
        <w:t>panopticon</w:t>
      </w:r>
      <w:proofErr w:type="spellEnd"/>
      <w:r w:rsidR="00045E6D">
        <w:rPr>
          <w:lang w:val="en-US"/>
        </w:rPr>
        <w:t xml:space="preserve">, but skips the step of scrutiny, instead there is an imminent threat of direct punishment. </w:t>
      </w:r>
      <w:r w:rsidR="001707E7">
        <w:rPr>
          <w:lang w:val="en-US"/>
        </w:rPr>
        <w:t xml:space="preserve">The new director of the CIA was very clear in an interview when he talked about the </w:t>
      </w:r>
      <w:proofErr w:type="spellStart"/>
      <w:r w:rsidR="001707E7">
        <w:rPr>
          <w:lang w:val="en-US"/>
        </w:rPr>
        <w:t>IoT</w:t>
      </w:r>
      <w:proofErr w:type="spellEnd"/>
      <w:r w:rsidR="001707E7">
        <w:rPr>
          <w:lang w:val="en-US"/>
        </w:rPr>
        <w:t xml:space="preserve"> and stated that:</w:t>
      </w:r>
      <w:r w:rsidR="00F86A32">
        <w:rPr>
          <w:lang w:val="en-US"/>
        </w:rPr>
        <w:t xml:space="preserve"> </w:t>
      </w:r>
      <w:r w:rsidR="001707E7">
        <w:rPr>
          <w:lang w:val="en-US"/>
        </w:rPr>
        <w:t>“The resultant chorus of ‘connected’ devices will be able to be read like a book – and even remote-controlled”.</w:t>
      </w:r>
      <w:r w:rsidR="001707E7">
        <w:rPr>
          <w:rStyle w:val="FootnoteReference"/>
        </w:rPr>
        <w:footnoteReference w:id="61"/>
      </w:r>
      <w:r w:rsidR="00F86A32">
        <w:rPr>
          <w:lang w:val="en-US"/>
        </w:rPr>
        <w:t xml:space="preserve"> </w:t>
      </w:r>
    </w:p>
    <w:p w:rsidR="004643BB" w:rsidRDefault="004643BB" w:rsidP="003B74EA">
      <w:pPr>
        <w:rPr>
          <w:lang w:val="en-US"/>
        </w:rPr>
      </w:pPr>
      <w:r>
        <w:rPr>
          <w:lang w:val="en-US"/>
        </w:rPr>
        <w:t xml:space="preserve">Without claiming that this rather ambitious surveillance-project is officially pursued by the EU, I will use the rest of this paper to substantiate </w:t>
      </w:r>
      <w:r w:rsidR="001707E7">
        <w:rPr>
          <w:lang w:val="en-US"/>
        </w:rPr>
        <w:t>my hypothesis that</w:t>
      </w:r>
      <w:r w:rsidR="001707E7" w:rsidRPr="009F0023">
        <w:rPr>
          <w:lang w:val="en-US"/>
        </w:rPr>
        <w:t xml:space="preserve"> EU policy with regard to the </w:t>
      </w:r>
      <w:proofErr w:type="spellStart"/>
      <w:r w:rsidR="001707E7" w:rsidRPr="009F0023">
        <w:rPr>
          <w:lang w:val="en-US"/>
        </w:rPr>
        <w:t>IoT</w:t>
      </w:r>
      <w:proofErr w:type="spellEnd"/>
      <w:r w:rsidR="001707E7" w:rsidRPr="009F0023">
        <w:rPr>
          <w:lang w:val="en-US"/>
        </w:rPr>
        <w:t xml:space="preserve"> guides a process </w:t>
      </w:r>
      <w:r w:rsidR="004B22D8">
        <w:rPr>
          <w:lang w:val="en-US"/>
        </w:rPr>
        <w:t xml:space="preserve">leading to </w:t>
      </w:r>
      <w:r w:rsidR="001707E7" w:rsidRPr="009F0023">
        <w:rPr>
          <w:lang w:val="en-US"/>
        </w:rPr>
        <w:t xml:space="preserve">capturing people their everyday behavior by </w:t>
      </w:r>
      <w:proofErr w:type="spellStart"/>
      <w:r w:rsidR="001707E7" w:rsidRPr="009F0023">
        <w:rPr>
          <w:lang w:val="en-US"/>
        </w:rPr>
        <w:t>IoT</w:t>
      </w:r>
      <w:proofErr w:type="spellEnd"/>
      <w:r w:rsidR="001707E7" w:rsidRPr="009F0023">
        <w:rPr>
          <w:lang w:val="en-US"/>
        </w:rPr>
        <w:t xml:space="preserve"> objects &amp; devices </w:t>
      </w:r>
      <w:r w:rsidR="00D56CEA">
        <w:rPr>
          <w:lang w:val="en-US"/>
        </w:rPr>
        <w:t>which</w:t>
      </w:r>
      <w:r w:rsidR="00D56CEA" w:rsidRPr="009F0023">
        <w:rPr>
          <w:lang w:val="en-US"/>
        </w:rPr>
        <w:t xml:space="preserve"> </w:t>
      </w:r>
      <w:r w:rsidR="001707E7" w:rsidRPr="009F0023">
        <w:rPr>
          <w:lang w:val="en-US"/>
        </w:rPr>
        <w:t>will autonomously set flows of data in motion transmitted over publicly available electronic communication networks</w:t>
      </w:r>
      <w:r w:rsidR="004B22D8">
        <w:rPr>
          <w:lang w:val="en-US"/>
        </w:rPr>
        <w:t>. This</w:t>
      </w:r>
      <w:r w:rsidR="00F86A32">
        <w:rPr>
          <w:lang w:val="en-US"/>
        </w:rPr>
        <w:t xml:space="preserve"> </w:t>
      </w:r>
      <w:r w:rsidR="001707E7" w:rsidRPr="009F0023">
        <w:rPr>
          <w:lang w:val="en-US"/>
        </w:rPr>
        <w:t xml:space="preserve">large amount of data </w:t>
      </w:r>
      <w:r w:rsidR="004B22D8">
        <w:rPr>
          <w:lang w:val="en-US"/>
        </w:rPr>
        <w:t xml:space="preserve">fuels </w:t>
      </w:r>
      <w:r w:rsidR="001707E7" w:rsidRPr="009F0023">
        <w:rPr>
          <w:lang w:val="en-US"/>
        </w:rPr>
        <w:t xml:space="preserve">the </w:t>
      </w:r>
      <w:r w:rsidR="00842D82" w:rsidRPr="009F0023">
        <w:rPr>
          <w:lang w:val="en-US"/>
        </w:rPr>
        <w:t xml:space="preserve">future </w:t>
      </w:r>
      <w:r w:rsidR="001707E7" w:rsidRPr="009F0023">
        <w:rPr>
          <w:lang w:val="en-US"/>
        </w:rPr>
        <w:t>surveill</w:t>
      </w:r>
      <w:r w:rsidR="004B22D8">
        <w:rPr>
          <w:lang w:val="en-US"/>
        </w:rPr>
        <w:t xml:space="preserve">ance society within </w:t>
      </w:r>
      <w:r w:rsidR="00842D82" w:rsidRPr="009F0023">
        <w:rPr>
          <w:lang w:val="en-US"/>
        </w:rPr>
        <w:t>Europe.</w:t>
      </w:r>
      <w:r w:rsidR="001707E7" w:rsidRPr="009F0023">
        <w:rPr>
          <w:lang w:val="en-US"/>
        </w:rPr>
        <w:t xml:space="preserve"> </w:t>
      </w:r>
      <w:r w:rsidR="004B22D8">
        <w:rPr>
          <w:lang w:val="en-US"/>
        </w:rPr>
        <w:t xml:space="preserve">A final step in realization is </w:t>
      </w:r>
      <w:r w:rsidR="001707E7" w:rsidRPr="009F0023">
        <w:rPr>
          <w:lang w:val="en-US"/>
        </w:rPr>
        <w:t xml:space="preserve">removing the </w:t>
      </w:r>
      <w:r w:rsidR="004B22D8">
        <w:rPr>
          <w:lang w:val="en-US"/>
        </w:rPr>
        <w:t>‘</w:t>
      </w:r>
      <w:r w:rsidR="001707E7" w:rsidRPr="009F0023">
        <w:rPr>
          <w:lang w:val="en-US"/>
        </w:rPr>
        <w:t>obstacle</w:t>
      </w:r>
      <w:r w:rsidR="004B22D8">
        <w:rPr>
          <w:lang w:val="en-US"/>
        </w:rPr>
        <w:t>’</w:t>
      </w:r>
      <w:r w:rsidR="001707E7" w:rsidRPr="009F0023">
        <w:rPr>
          <w:lang w:val="en-US"/>
        </w:rPr>
        <w:t xml:space="preserve"> of privacy legislation</w:t>
      </w:r>
      <w:r w:rsidR="003F17D1">
        <w:rPr>
          <w:lang w:val="en-US"/>
        </w:rPr>
        <w:t xml:space="preserve"> in combination with</w:t>
      </w:r>
      <w:r w:rsidR="001707E7" w:rsidRPr="009F0023">
        <w:rPr>
          <w:lang w:val="en-US"/>
        </w:rPr>
        <w:t xml:space="preserve"> the </w:t>
      </w:r>
      <w:r w:rsidR="00002BED" w:rsidRPr="009F0023">
        <w:rPr>
          <w:lang w:val="en-US"/>
        </w:rPr>
        <w:t>standardizing</w:t>
      </w:r>
      <w:r w:rsidR="00F86A32">
        <w:rPr>
          <w:lang w:val="en-US"/>
        </w:rPr>
        <w:t xml:space="preserve"> </w:t>
      </w:r>
      <w:r w:rsidR="00002BED" w:rsidRPr="009F0023">
        <w:rPr>
          <w:lang w:val="en-US"/>
        </w:rPr>
        <w:t>and</w:t>
      </w:r>
      <w:r w:rsidR="00842D82" w:rsidRPr="009F0023">
        <w:rPr>
          <w:lang w:val="en-US"/>
        </w:rPr>
        <w:t xml:space="preserve"> </w:t>
      </w:r>
      <w:r w:rsidR="001707E7" w:rsidRPr="009F0023">
        <w:rPr>
          <w:lang w:val="en-US"/>
        </w:rPr>
        <w:t xml:space="preserve">mandatory retention of </w:t>
      </w:r>
      <w:proofErr w:type="spellStart"/>
      <w:r w:rsidR="001707E7" w:rsidRPr="009F0023">
        <w:rPr>
          <w:lang w:val="en-US"/>
        </w:rPr>
        <w:t>IoT</w:t>
      </w:r>
      <w:proofErr w:type="spellEnd"/>
      <w:r w:rsidR="001707E7" w:rsidRPr="009F0023">
        <w:rPr>
          <w:lang w:val="en-US"/>
        </w:rPr>
        <w:t>-data.</w:t>
      </w:r>
    </w:p>
    <w:p w:rsidR="006E7E69" w:rsidRDefault="006E7E69" w:rsidP="006E7E69">
      <w:pPr>
        <w:rPr>
          <w:lang w:val="en-US"/>
        </w:rPr>
      </w:pPr>
    </w:p>
    <w:p w:rsidR="00AF590B" w:rsidRDefault="006E7E69" w:rsidP="002639E3">
      <w:pPr>
        <w:pStyle w:val="Heading3"/>
        <w:numPr>
          <w:ilvl w:val="1"/>
          <w:numId w:val="13"/>
        </w:numPr>
        <w:rPr>
          <w:lang w:val="en-US"/>
        </w:rPr>
      </w:pPr>
      <w:bookmarkStart w:id="16" w:name="_Toc347068602"/>
      <w:bookmarkStart w:id="17" w:name="_Toc347145359"/>
      <w:r>
        <w:rPr>
          <w:lang w:val="en-US"/>
        </w:rPr>
        <w:t xml:space="preserve">Privacy in the </w:t>
      </w:r>
      <w:proofErr w:type="spellStart"/>
      <w:r>
        <w:rPr>
          <w:lang w:val="en-US"/>
        </w:rPr>
        <w:t>IoT</w:t>
      </w:r>
      <w:bookmarkEnd w:id="16"/>
      <w:bookmarkEnd w:id="17"/>
      <w:proofErr w:type="spellEnd"/>
    </w:p>
    <w:p w:rsidR="001E4EFF" w:rsidRDefault="006E7E69" w:rsidP="006E7E69">
      <w:pPr>
        <w:pStyle w:val="EndnoteText"/>
        <w:rPr>
          <w:sz w:val="22"/>
          <w:szCs w:val="22"/>
        </w:rPr>
      </w:pPr>
      <w:r>
        <w:rPr>
          <w:sz w:val="22"/>
          <w:szCs w:val="22"/>
        </w:rPr>
        <w:t xml:space="preserve">Privacy in the </w:t>
      </w:r>
      <w:proofErr w:type="spellStart"/>
      <w:r>
        <w:rPr>
          <w:sz w:val="22"/>
          <w:szCs w:val="22"/>
        </w:rPr>
        <w:t>IoT</w:t>
      </w:r>
      <w:proofErr w:type="spellEnd"/>
      <w:r>
        <w:rPr>
          <w:sz w:val="22"/>
          <w:szCs w:val="22"/>
        </w:rPr>
        <w:t xml:space="preserve"> results in a paradoxical policy objective, since one of the key drivers in the </w:t>
      </w:r>
      <w:proofErr w:type="spellStart"/>
      <w:r>
        <w:rPr>
          <w:sz w:val="22"/>
          <w:szCs w:val="22"/>
        </w:rPr>
        <w:t>IoT</w:t>
      </w:r>
      <w:proofErr w:type="spellEnd"/>
      <w:r>
        <w:rPr>
          <w:sz w:val="22"/>
          <w:szCs w:val="22"/>
        </w:rPr>
        <w:t xml:space="preserve"> is to connect everything and the right to a private life is about </w:t>
      </w:r>
      <w:r w:rsidR="00D56CEA">
        <w:rPr>
          <w:sz w:val="22"/>
          <w:szCs w:val="22"/>
        </w:rPr>
        <w:t xml:space="preserve">protecting </w:t>
      </w:r>
      <w:r>
        <w:rPr>
          <w:sz w:val="22"/>
          <w:szCs w:val="22"/>
        </w:rPr>
        <w:t xml:space="preserve">an intimate sphere that requires some form of isolation. In its Action Plan on the </w:t>
      </w:r>
      <w:proofErr w:type="spellStart"/>
      <w:r>
        <w:rPr>
          <w:sz w:val="22"/>
          <w:szCs w:val="22"/>
        </w:rPr>
        <w:t>IoT</w:t>
      </w:r>
      <w:proofErr w:type="spellEnd"/>
      <w:r>
        <w:rPr>
          <w:sz w:val="22"/>
          <w:szCs w:val="22"/>
        </w:rPr>
        <w:t xml:space="preserve"> (2009) the Commission places privacy and data protection under the header of “Lifting the obstacles to the uptake of the Internet of Things”. They state that “social acceptance of the </w:t>
      </w:r>
      <w:proofErr w:type="spellStart"/>
      <w:r>
        <w:rPr>
          <w:sz w:val="22"/>
          <w:szCs w:val="22"/>
        </w:rPr>
        <w:t>IoT</w:t>
      </w:r>
      <w:proofErr w:type="spellEnd"/>
      <w:r>
        <w:rPr>
          <w:sz w:val="22"/>
          <w:szCs w:val="22"/>
        </w:rPr>
        <w:t xml:space="preserve"> is strongly intertwined with respect for privacy and protection of personal data” and that appropriate data protection measures are a prerequisite for trust and acceptance of “these systems”.</w:t>
      </w:r>
      <w:r w:rsidR="00F86A32">
        <w:rPr>
          <w:sz w:val="22"/>
          <w:szCs w:val="22"/>
        </w:rPr>
        <w:t xml:space="preserve"> </w:t>
      </w:r>
      <w:r>
        <w:rPr>
          <w:sz w:val="22"/>
          <w:szCs w:val="22"/>
        </w:rPr>
        <w:t xml:space="preserve">The Commission considers that the uptake of the </w:t>
      </w:r>
      <w:proofErr w:type="spellStart"/>
      <w:r>
        <w:rPr>
          <w:sz w:val="22"/>
          <w:szCs w:val="22"/>
        </w:rPr>
        <w:t>IoT</w:t>
      </w:r>
      <w:proofErr w:type="spellEnd"/>
      <w:r>
        <w:rPr>
          <w:sz w:val="22"/>
          <w:szCs w:val="22"/>
        </w:rPr>
        <w:t xml:space="preserve"> will affect the way we understand privacy. The argument behind this consideration seems to be that the ongoing development of technology has an effect on our system of values. This argument supports to some extent a self-fulfilling prophecy, since policy and legislation from the EU itself is contributing to the development of technology that they ascribe this quality to. If you follow this logic the EU is indirectly, yet actively, contributing to changing the value of privacy.</w:t>
      </w:r>
      <w:r w:rsidR="00F86A32">
        <w:rPr>
          <w:sz w:val="22"/>
          <w:szCs w:val="22"/>
        </w:rPr>
        <w:t xml:space="preserve"> </w:t>
      </w:r>
      <w:r w:rsidRPr="0084201A">
        <w:rPr>
          <w:sz w:val="22"/>
          <w:szCs w:val="22"/>
        </w:rPr>
        <w:t xml:space="preserve">This </w:t>
      </w:r>
      <w:r>
        <w:rPr>
          <w:sz w:val="22"/>
          <w:szCs w:val="22"/>
        </w:rPr>
        <w:t xml:space="preserve">somewhat </w:t>
      </w:r>
      <w:r w:rsidRPr="0084201A">
        <w:rPr>
          <w:sz w:val="22"/>
          <w:szCs w:val="22"/>
        </w:rPr>
        <w:t>technological deterministic view shimmers through EU reports and insinuates that there is no power to</w:t>
      </w:r>
      <w:r>
        <w:rPr>
          <w:sz w:val="22"/>
          <w:szCs w:val="22"/>
        </w:rPr>
        <w:t xml:space="preserve"> be</w:t>
      </w:r>
      <w:r w:rsidRPr="0084201A">
        <w:rPr>
          <w:sz w:val="22"/>
          <w:szCs w:val="22"/>
        </w:rPr>
        <w:t xml:space="preserve"> exercised over the way technology is implemented in society, dislocating the accountability of </w:t>
      </w:r>
      <w:r w:rsidRPr="0084201A">
        <w:rPr>
          <w:sz w:val="22"/>
          <w:szCs w:val="22"/>
        </w:rPr>
        <w:lastRenderedPageBreak/>
        <w:t>government for their role in this process</w:t>
      </w:r>
      <w:r>
        <w:t xml:space="preserve">. </w:t>
      </w:r>
      <w:r>
        <w:rPr>
          <w:sz w:val="22"/>
          <w:szCs w:val="22"/>
        </w:rPr>
        <w:t>From a legal point of view the argument that the development of technology sets the norm seems strange, it should be the other way around. The emergence of Privacy by Design (</w:t>
      </w:r>
      <w:proofErr w:type="spellStart"/>
      <w:r>
        <w:rPr>
          <w:sz w:val="22"/>
          <w:szCs w:val="22"/>
        </w:rPr>
        <w:t>PbD</w:t>
      </w:r>
      <w:proofErr w:type="spellEnd"/>
      <w:r>
        <w:rPr>
          <w:sz w:val="22"/>
          <w:szCs w:val="22"/>
        </w:rPr>
        <w:t xml:space="preserve">) and Privacy Enhancing Technologies (PET) on top of common sense telling us that </w:t>
      </w:r>
      <w:r w:rsidR="003643FE">
        <w:rPr>
          <w:sz w:val="22"/>
          <w:szCs w:val="22"/>
        </w:rPr>
        <w:t xml:space="preserve">engineers are </w:t>
      </w:r>
      <w:r>
        <w:rPr>
          <w:sz w:val="22"/>
          <w:szCs w:val="22"/>
        </w:rPr>
        <w:t xml:space="preserve">able to build ICT-systems in pretty much any way they like, displays the falseness of the underlying argument on which this laissez-faire attitude is based. </w:t>
      </w:r>
    </w:p>
    <w:p w:rsidR="001E4EFF" w:rsidRDefault="001E4EFF" w:rsidP="006E7E69">
      <w:pPr>
        <w:pStyle w:val="EndnoteText"/>
        <w:rPr>
          <w:sz w:val="22"/>
          <w:szCs w:val="22"/>
        </w:rPr>
      </w:pPr>
    </w:p>
    <w:p w:rsidR="006E7E69" w:rsidRPr="00382764" w:rsidRDefault="006E7E69" w:rsidP="006E7E69">
      <w:pPr>
        <w:pStyle w:val="EndnoteText"/>
        <w:rPr>
          <w:sz w:val="22"/>
          <w:szCs w:val="22"/>
        </w:rPr>
      </w:pPr>
      <w:r>
        <w:rPr>
          <w:sz w:val="22"/>
          <w:szCs w:val="22"/>
        </w:rPr>
        <w:t xml:space="preserve">In a recent episode of the Dutch documentary-series </w:t>
      </w:r>
      <w:r>
        <w:rPr>
          <w:i/>
          <w:sz w:val="22"/>
          <w:szCs w:val="22"/>
        </w:rPr>
        <w:t>Backlight</w:t>
      </w:r>
      <w:r>
        <w:rPr>
          <w:sz w:val="22"/>
          <w:szCs w:val="22"/>
        </w:rPr>
        <w:t>, Ann Berg (a former speculator) tells that on the</w:t>
      </w:r>
      <w:r w:rsidR="004A2359">
        <w:rPr>
          <w:sz w:val="22"/>
          <w:szCs w:val="22"/>
        </w:rPr>
        <w:t xml:space="preserve"> exchange </w:t>
      </w:r>
      <w:r>
        <w:rPr>
          <w:sz w:val="22"/>
          <w:szCs w:val="22"/>
        </w:rPr>
        <w:t>of Chicago it is possible to buy 22 000 contracts</w:t>
      </w:r>
      <w:r w:rsidR="004A2359">
        <w:rPr>
          <w:sz w:val="22"/>
          <w:szCs w:val="22"/>
        </w:rPr>
        <w:t xml:space="preserve"> </w:t>
      </w:r>
      <w:r>
        <w:rPr>
          <w:sz w:val="22"/>
          <w:szCs w:val="22"/>
        </w:rPr>
        <w:t xml:space="preserve">on corn, which is almost 3 million tons (around 55 </w:t>
      </w:r>
      <w:proofErr w:type="spellStart"/>
      <w:r>
        <w:rPr>
          <w:sz w:val="22"/>
          <w:szCs w:val="22"/>
        </w:rPr>
        <w:t>panamax</w:t>
      </w:r>
      <w:proofErr w:type="spellEnd"/>
      <w:r>
        <w:rPr>
          <w:sz w:val="22"/>
          <w:szCs w:val="22"/>
        </w:rPr>
        <w:t xml:space="preserve"> ships) through a black box system that guarantees the anon</w:t>
      </w:r>
      <w:r w:rsidR="001B08AC">
        <w:rPr>
          <w:sz w:val="22"/>
          <w:szCs w:val="22"/>
        </w:rPr>
        <w:t>y</w:t>
      </w:r>
      <w:r>
        <w:rPr>
          <w:sz w:val="22"/>
          <w:szCs w:val="22"/>
        </w:rPr>
        <w:t>mity of the buyer.</w:t>
      </w:r>
      <w:r>
        <w:rPr>
          <w:rStyle w:val="FootnoteReference"/>
          <w:sz w:val="22"/>
          <w:szCs w:val="22"/>
        </w:rPr>
        <w:footnoteReference w:id="62"/>
      </w:r>
      <w:r>
        <w:rPr>
          <w:sz w:val="22"/>
          <w:szCs w:val="22"/>
        </w:rPr>
        <w:t xml:space="preserve"> She continues to explain that before the emergence of the computer it was not possible to make these transactions anonymous, because the people were visible on the floor where they traded. This development seems to indicate that there is a reverse process taking place with regard to data of high level transactions in the financial world, compared to data about everyday li</w:t>
      </w:r>
      <w:r w:rsidR="004A2359">
        <w:rPr>
          <w:sz w:val="22"/>
          <w:szCs w:val="22"/>
        </w:rPr>
        <w:t>f</w:t>
      </w:r>
      <w:r>
        <w:rPr>
          <w:sz w:val="22"/>
          <w:szCs w:val="22"/>
        </w:rPr>
        <w:t xml:space="preserve">e activities of normal citizens. Every action from </w:t>
      </w:r>
      <w:r w:rsidR="004B22D8">
        <w:rPr>
          <w:sz w:val="22"/>
          <w:szCs w:val="22"/>
        </w:rPr>
        <w:t xml:space="preserve">switching </w:t>
      </w:r>
      <w:r>
        <w:rPr>
          <w:sz w:val="22"/>
          <w:szCs w:val="22"/>
        </w:rPr>
        <w:t>on your phone when you wake up, to checking in at the train station, entering the office with you</w:t>
      </w:r>
      <w:r w:rsidR="004A2359">
        <w:rPr>
          <w:sz w:val="22"/>
          <w:szCs w:val="22"/>
        </w:rPr>
        <w:t>r</w:t>
      </w:r>
      <w:r>
        <w:rPr>
          <w:sz w:val="22"/>
          <w:szCs w:val="22"/>
        </w:rPr>
        <w:t xml:space="preserve"> personal card</w:t>
      </w:r>
      <w:r w:rsidR="004A2359">
        <w:rPr>
          <w:sz w:val="22"/>
          <w:szCs w:val="22"/>
        </w:rPr>
        <w:t>,</w:t>
      </w:r>
      <w:r>
        <w:rPr>
          <w:sz w:val="22"/>
          <w:szCs w:val="22"/>
        </w:rPr>
        <w:t xml:space="preserve"> </w:t>
      </w:r>
      <w:r w:rsidR="004B22D8">
        <w:rPr>
          <w:sz w:val="22"/>
          <w:szCs w:val="22"/>
        </w:rPr>
        <w:t xml:space="preserve">and </w:t>
      </w:r>
      <w:r>
        <w:rPr>
          <w:sz w:val="22"/>
          <w:szCs w:val="22"/>
        </w:rPr>
        <w:t xml:space="preserve">making a phone call to your mom during lunch, is </w:t>
      </w:r>
      <w:r w:rsidR="00295190">
        <w:rPr>
          <w:sz w:val="22"/>
          <w:szCs w:val="22"/>
        </w:rPr>
        <w:t xml:space="preserve">registered and made accessible </w:t>
      </w:r>
      <w:r>
        <w:rPr>
          <w:sz w:val="22"/>
          <w:szCs w:val="22"/>
        </w:rPr>
        <w:t>in name of security. However, if you decide some</w:t>
      </w:r>
      <w:r w:rsidR="004B22D8">
        <w:rPr>
          <w:sz w:val="22"/>
          <w:szCs w:val="22"/>
        </w:rPr>
        <w:t xml:space="preserve">time during </w:t>
      </w:r>
      <w:r>
        <w:rPr>
          <w:sz w:val="22"/>
          <w:szCs w:val="22"/>
        </w:rPr>
        <w:t>the day you should invest in an amount of food that could easily set off a revolution,</w:t>
      </w:r>
      <w:r w:rsidR="00F86A32">
        <w:rPr>
          <w:sz w:val="22"/>
          <w:szCs w:val="22"/>
        </w:rPr>
        <w:t xml:space="preserve"> </w:t>
      </w:r>
      <w:r>
        <w:rPr>
          <w:sz w:val="22"/>
          <w:szCs w:val="22"/>
        </w:rPr>
        <w:t>security apparently is not in question.</w:t>
      </w:r>
    </w:p>
    <w:p w:rsidR="006E7E69" w:rsidRDefault="006E7E69" w:rsidP="006E7E69">
      <w:pPr>
        <w:pStyle w:val="EndnoteText"/>
        <w:rPr>
          <w:sz w:val="22"/>
          <w:szCs w:val="22"/>
        </w:rPr>
      </w:pPr>
    </w:p>
    <w:p w:rsidR="006F5981" w:rsidRDefault="00783FFF" w:rsidP="00232282">
      <w:pPr>
        <w:rPr>
          <w:lang w:val="en-US"/>
        </w:rPr>
      </w:pPr>
      <w:r>
        <w:rPr>
          <w:lang w:val="en-US"/>
        </w:rPr>
        <w:t xml:space="preserve">It would not be </w:t>
      </w:r>
      <w:r w:rsidR="004B22D8">
        <w:rPr>
          <w:lang w:val="en-US"/>
        </w:rPr>
        <w:t xml:space="preserve">correct </w:t>
      </w:r>
      <w:r w:rsidR="003F17D1">
        <w:rPr>
          <w:lang w:val="en-US"/>
        </w:rPr>
        <w:t>to accuse all EU politicians</w:t>
      </w:r>
      <w:r>
        <w:rPr>
          <w:lang w:val="en-US"/>
        </w:rPr>
        <w:t xml:space="preserve"> of taking a passive stance </w:t>
      </w:r>
      <w:r w:rsidR="004B22D8">
        <w:rPr>
          <w:lang w:val="en-US"/>
        </w:rPr>
        <w:t xml:space="preserve">regarding </w:t>
      </w:r>
      <w:r>
        <w:rPr>
          <w:lang w:val="en-US"/>
        </w:rPr>
        <w:t xml:space="preserve">the privacy-issues of the </w:t>
      </w:r>
      <w:proofErr w:type="spellStart"/>
      <w:r>
        <w:rPr>
          <w:lang w:val="en-US"/>
        </w:rPr>
        <w:t>IoT</w:t>
      </w:r>
      <w:proofErr w:type="spellEnd"/>
      <w:r>
        <w:rPr>
          <w:lang w:val="en-US"/>
        </w:rPr>
        <w:t>. There is one informal group that active</w:t>
      </w:r>
      <w:r w:rsidR="006F5981">
        <w:rPr>
          <w:lang w:val="en-US"/>
        </w:rPr>
        <w:t xml:space="preserve">ly looks for “the opportunity, for informal fireplace-like discussions among Ministers on political themes”. </w:t>
      </w:r>
      <w:r w:rsidR="002A3105">
        <w:rPr>
          <w:lang w:val="en-US"/>
        </w:rPr>
        <w:t>“It was stressed that the Group gives upcoming presidencies and the Commission the chance to communicate in an open and informal way before concrete proposals and drafts are produced.”</w:t>
      </w:r>
      <w:r w:rsidR="002A3105" w:rsidRPr="002A3105">
        <w:rPr>
          <w:rStyle w:val="FootnoteReference"/>
          <w:lang w:val="en-US"/>
        </w:rPr>
        <w:t xml:space="preserve"> </w:t>
      </w:r>
      <w:r w:rsidR="002A3105">
        <w:rPr>
          <w:rStyle w:val="FootnoteReference"/>
          <w:lang w:val="en-US"/>
        </w:rPr>
        <w:footnoteReference w:id="63"/>
      </w:r>
      <w:r w:rsidR="002A3105">
        <w:rPr>
          <w:lang w:val="en-US"/>
        </w:rPr>
        <w:t xml:space="preserve"> </w:t>
      </w:r>
      <w:r w:rsidR="006F5981">
        <w:rPr>
          <w:lang w:val="en-US"/>
        </w:rPr>
        <w:t xml:space="preserve">“The Future Group”, </w:t>
      </w:r>
      <w:r w:rsidR="006F5981" w:rsidRPr="00065C38">
        <w:rPr>
          <w:lang w:val="en-US"/>
        </w:rPr>
        <w:t>that refers to itself as the Informal High Level Advisory Group on the Future of European Home Affairs Policy</w:t>
      </w:r>
      <w:r w:rsidR="006F5981">
        <w:rPr>
          <w:lang w:val="en-US"/>
        </w:rPr>
        <w:t>, largely consisted of several internal ministers and experts.</w:t>
      </w:r>
      <w:r w:rsidR="006F5981">
        <w:rPr>
          <w:rStyle w:val="FootnoteReference"/>
        </w:rPr>
        <w:footnoteReference w:id="64"/>
      </w:r>
      <w:r w:rsidR="006F5981">
        <w:rPr>
          <w:lang w:val="en-US"/>
        </w:rPr>
        <w:t xml:space="preserve"> </w:t>
      </w:r>
      <w:r w:rsidR="002A3105">
        <w:rPr>
          <w:lang w:val="en-US"/>
        </w:rPr>
        <w:t>Unfortunately for privacy the fireplace-like discussions were clearly aimed at burning privacy down to the ground</w:t>
      </w:r>
      <w:r w:rsidR="001E4EFF" w:rsidRPr="00065C38">
        <w:rPr>
          <w:lang w:val="en-US"/>
        </w:rPr>
        <w:t>:</w:t>
      </w:r>
      <w:r w:rsidR="00F86A32">
        <w:rPr>
          <w:lang w:val="en-US"/>
        </w:rPr>
        <w:t xml:space="preserve"> </w:t>
      </w:r>
    </w:p>
    <w:p w:rsidR="006E7E69" w:rsidRDefault="001E4EFF" w:rsidP="00232282">
      <w:pPr>
        <w:rPr>
          <w:lang w:val="en-US"/>
        </w:rPr>
      </w:pPr>
      <w:r>
        <w:rPr>
          <w:lang w:val="en-US"/>
        </w:rPr>
        <w:t>“</w:t>
      </w:r>
      <w:r w:rsidRPr="00065C38">
        <w:rPr>
          <w:lang w:val="en-US"/>
        </w:rPr>
        <w:t>Every object the individual uses, every transaction they make and almost everywhere they go will create a detailed digital record. This will generate a wealth of information for public security organizations, and create huge opportunities for more effective and productive public security efforts.</w:t>
      </w:r>
      <w:r>
        <w:rPr>
          <w:lang w:val="en-US"/>
        </w:rPr>
        <w:t>”</w:t>
      </w:r>
      <w:r>
        <w:rPr>
          <w:rStyle w:val="FootnoteReference"/>
        </w:rPr>
        <w:footnoteReference w:id="65"/>
      </w:r>
    </w:p>
    <w:p w:rsidR="002A3105" w:rsidRDefault="002A3105" w:rsidP="00232282">
      <w:pPr>
        <w:rPr>
          <w:lang w:val="en-US"/>
        </w:rPr>
      </w:pPr>
      <w:r>
        <w:rPr>
          <w:lang w:val="en-US"/>
        </w:rPr>
        <w:t xml:space="preserve">This remarkable </w:t>
      </w:r>
      <w:r w:rsidR="00F86A32">
        <w:rPr>
          <w:lang w:val="en-US"/>
        </w:rPr>
        <w:t xml:space="preserve">quote </w:t>
      </w:r>
      <w:r>
        <w:rPr>
          <w:lang w:val="en-US"/>
        </w:rPr>
        <w:t xml:space="preserve">about the </w:t>
      </w:r>
      <w:proofErr w:type="spellStart"/>
      <w:r>
        <w:rPr>
          <w:lang w:val="en-US"/>
        </w:rPr>
        <w:t>IoT</w:t>
      </w:r>
      <w:proofErr w:type="spellEnd"/>
      <w:r>
        <w:rPr>
          <w:lang w:val="en-US"/>
        </w:rPr>
        <w:t xml:space="preserve"> can be found in a proposal published already in 2007. The proposal</w:t>
      </w:r>
      <w:r w:rsidRPr="00065C38">
        <w:rPr>
          <w:lang w:val="en-US"/>
        </w:rPr>
        <w:t xml:space="preserve"> served the Council of the EU in preparing the Stockholm Program</w:t>
      </w:r>
      <w:r>
        <w:rPr>
          <w:lang w:val="en-US"/>
        </w:rPr>
        <w:t xml:space="preserve"> on justice, freedom and security</w:t>
      </w:r>
      <w:r w:rsidRPr="00065C38">
        <w:rPr>
          <w:lang w:val="en-US"/>
        </w:rPr>
        <w:t xml:space="preserve">. </w:t>
      </w:r>
      <w:r>
        <w:rPr>
          <w:lang w:val="en-US"/>
        </w:rPr>
        <w:t>This</w:t>
      </w:r>
      <w:r w:rsidRPr="00065C38">
        <w:rPr>
          <w:lang w:val="en-US"/>
        </w:rPr>
        <w:t xml:space="preserve"> </w:t>
      </w:r>
      <w:r w:rsidR="00F86A32">
        <w:rPr>
          <w:lang w:val="en-US"/>
        </w:rPr>
        <w:t xml:space="preserve">phrase </w:t>
      </w:r>
      <w:r w:rsidRPr="00065C38">
        <w:rPr>
          <w:lang w:val="en-US"/>
        </w:rPr>
        <w:t xml:space="preserve">is written </w:t>
      </w:r>
      <w:r w:rsidR="00385D1B">
        <w:rPr>
          <w:lang w:val="en-US"/>
        </w:rPr>
        <w:t>specific</w:t>
      </w:r>
      <w:r w:rsidR="00385D1B" w:rsidRPr="00065C38">
        <w:rPr>
          <w:lang w:val="en-US"/>
        </w:rPr>
        <w:t xml:space="preserve"> </w:t>
      </w:r>
      <w:r w:rsidRPr="00065C38">
        <w:rPr>
          <w:lang w:val="en-US"/>
        </w:rPr>
        <w:t xml:space="preserve">on the </w:t>
      </w:r>
      <w:proofErr w:type="spellStart"/>
      <w:r w:rsidRPr="00065C38">
        <w:rPr>
          <w:lang w:val="en-US"/>
        </w:rPr>
        <w:t>IoT</w:t>
      </w:r>
      <w:proofErr w:type="spellEnd"/>
      <w:r w:rsidRPr="00065C38">
        <w:rPr>
          <w:lang w:val="en-US"/>
        </w:rPr>
        <w:t xml:space="preserve"> and how it can be used as an instrument of unprecedented surveillance</w:t>
      </w:r>
      <w:r w:rsidR="0071020B">
        <w:rPr>
          <w:lang w:val="en-US"/>
        </w:rPr>
        <w:t>.</w:t>
      </w:r>
    </w:p>
    <w:p w:rsidR="00AF590B" w:rsidRDefault="00A83A59" w:rsidP="002639E3">
      <w:pPr>
        <w:pStyle w:val="Heading3"/>
        <w:numPr>
          <w:ilvl w:val="1"/>
          <w:numId w:val="13"/>
        </w:numPr>
        <w:rPr>
          <w:lang w:val="en-US"/>
        </w:rPr>
      </w:pPr>
      <w:bookmarkStart w:id="18" w:name="_Toc342048313"/>
      <w:bookmarkStart w:id="19" w:name="_Toc346967729"/>
      <w:bookmarkStart w:id="20" w:name="_Toc347068604"/>
      <w:bookmarkStart w:id="21" w:name="_Toc347145360"/>
      <w:r w:rsidRPr="00691138">
        <w:rPr>
          <w:lang w:val="en-US"/>
        </w:rPr>
        <w:t>Data</w:t>
      </w:r>
      <w:r>
        <w:rPr>
          <w:lang w:val="en-US"/>
        </w:rPr>
        <w:t xml:space="preserve"> protection or data </w:t>
      </w:r>
      <w:r w:rsidRPr="00691138">
        <w:rPr>
          <w:lang w:val="en-US"/>
        </w:rPr>
        <w:t>dispossession?</w:t>
      </w:r>
      <w:bookmarkEnd w:id="18"/>
      <w:bookmarkEnd w:id="19"/>
      <w:bookmarkEnd w:id="20"/>
      <w:bookmarkEnd w:id="21"/>
    </w:p>
    <w:p w:rsidR="00A8000E" w:rsidRDefault="002A3105" w:rsidP="00A8000E">
      <w:pPr>
        <w:rPr>
          <w:lang w:val="en-US"/>
        </w:rPr>
      </w:pPr>
      <w:r>
        <w:rPr>
          <w:lang w:val="en-US"/>
        </w:rPr>
        <w:t>One of the most popular definitions of i</w:t>
      </w:r>
      <w:r w:rsidR="00A83A59" w:rsidRPr="00691138">
        <w:rPr>
          <w:lang w:val="en-US"/>
        </w:rPr>
        <w:t xml:space="preserve">nformational privacy </w:t>
      </w:r>
      <w:r>
        <w:rPr>
          <w:lang w:val="en-US"/>
        </w:rPr>
        <w:t>is the one of Alan. F. Westin:</w:t>
      </w:r>
      <w:r w:rsidR="00A83A59" w:rsidRPr="00691138">
        <w:rPr>
          <w:lang w:val="en-US"/>
        </w:rPr>
        <w:t xml:space="preserve"> the claim of individuals to determine when, how and to what extent information about them is communicated </w:t>
      </w:r>
      <w:r w:rsidR="00A83A59" w:rsidRPr="00691138">
        <w:rPr>
          <w:lang w:val="en-US"/>
        </w:rPr>
        <w:lastRenderedPageBreak/>
        <w:t>to others.</w:t>
      </w:r>
      <w:r w:rsidR="00A83A59">
        <w:rPr>
          <w:rStyle w:val="FootnoteReference"/>
          <w:lang w:val="en-US"/>
        </w:rPr>
        <w:footnoteReference w:id="66"/>
      </w:r>
      <w:r w:rsidR="00A83A59" w:rsidRPr="00691138">
        <w:rPr>
          <w:lang w:val="en-US"/>
        </w:rPr>
        <w:t xml:space="preserve"> In practice this right is often balanced </w:t>
      </w:r>
      <w:r w:rsidR="00A83A59">
        <w:rPr>
          <w:lang w:val="en-US"/>
        </w:rPr>
        <w:t>against</w:t>
      </w:r>
      <w:r w:rsidR="00A83A59" w:rsidRPr="00691138">
        <w:rPr>
          <w:lang w:val="en-US"/>
        </w:rPr>
        <w:t xml:space="preserve"> other interests like the rights of other</w:t>
      </w:r>
      <w:r w:rsidR="00A83A59">
        <w:rPr>
          <w:lang w:val="en-US"/>
        </w:rPr>
        <w:t>s</w:t>
      </w:r>
      <w:r w:rsidR="00A83A59" w:rsidRPr="00691138">
        <w:rPr>
          <w:lang w:val="en-US"/>
        </w:rPr>
        <w:t xml:space="preserve">, national security, public order and the economic well-being of a country, also to be found in </w:t>
      </w:r>
      <w:r w:rsidR="00A83A59">
        <w:rPr>
          <w:lang w:val="en-US"/>
        </w:rPr>
        <w:t>A</w:t>
      </w:r>
      <w:r w:rsidR="00A83A59" w:rsidRPr="00691138">
        <w:rPr>
          <w:lang w:val="en-US"/>
        </w:rPr>
        <w:t xml:space="preserve">rticle 8 ECHR. In the EU the rules for the handling of personal data are laid down in Directive 95/46/EC. </w:t>
      </w:r>
      <w:r w:rsidR="00A83A59">
        <w:rPr>
          <w:lang w:val="en-US"/>
        </w:rPr>
        <w:t xml:space="preserve">Data protection is sometimes used interchangeably with informational privacy. </w:t>
      </w:r>
      <w:r w:rsidR="00A83A59" w:rsidRPr="00691138">
        <w:rPr>
          <w:lang w:val="en-US"/>
        </w:rPr>
        <w:t xml:space="preserve">The </w:t>
      </w:r>
      <w:r w:rsidR="00A83A59">
        <w:rPr>
          <w:lang w:val="en-US"/>
        </w:rPr>
        <w:t>way</w:t>
      </w:r>
      <w:r w:rsidR="00A83A59" w:rsidRPr="00691138">
        <w:rPr>
          <w:lang w:val="en-US"/>
        </w:rPr>
        <w:t xml:space="preserve"> data</w:t>
      </w:r>
      <w:r w:rsidR="00A83A59">
        <w:rPr>
          <w:lang w:val="en-US"/>
        </w:rPr>
        <w:t xml:space="preserve"> </w:t>
      </w:r>
      <w:r w:rsidR="00A83A59" w:rsidRPr="00691138">
        <w:rPr>
          <w:lang w:val="en-US"/>
        </w:rPr>
        <w:t>protection</w:t>
      </w:r>
      <w:r w:rsidR="00A83A59">
        <w:rPr>
          <w:lang w:val="en-US"/>
        </w:rPr>
        <w:t xml:space="preserve"> today is positioned by the Commission</w:t>
      </w:r>
      <w:r w:rsidR="00A83A59" w:rsidRPr="00691138">
        <w:rPr>
          <w:lang w:val="en-US"/>
        </w:rPr>
        <w:t xml:space="preserve">, however, is very different from </w:t>
      </w:r>
      <w:r w:rsidR="00A83A59">
        <w:rPr>
          <w:lang w:val="en-US"/>
        </w:rPr>
        <w:t>Westin’s definition of informational privacy</w:t>
      </w:r>
      <w:r w:rsidR="00A83A59" w:rsidRPr="00691138">
        <w:rPr>
          <w:lang w:val="en-US"/>
        </w:rPr>
        <w:t xml:space="preserve">. </w:t>
      </w:r>
      <w:r w:rsidR="00A83A59">
        <w:rPr>
          <w:lang w:val="en-US"/>
        </w:rPr>
        <w:t>To put it bluntly, th</w:t>
      </w:r>
      <w:r w:rsidR="00670CBC">
        <w:rPr>
          <w:lang w:val="en-US"/>
        </w:rPr>
        <w:t>e creative approach of the</w:t>
      </w:r>
      <w:r w:rsidR="00A83A59">
        <w:rPr>
          <w:lang w:val="en-US"/>
        </w:rPr>
        <w:t xml:space="preserve"> Commission </w:t>
      </w:r>
      <w:r w:rsidR="00670CBC">
        <w:rPr>
          <w:lang w:val="en-US"/>
        </w:rPr>
        <w:t>to</w:t>
      </w:r>
      <w:r w:rsidR="00A83A59">
        <w:rPr>
          <w:lang w:val="en-US"/>
        </w:rPr>
        <w:t xml:space="preserve"> data protection</w:t>
      </w:r>
      <w:r w:rsidR="003F17D1">
        <w:rPr>
          <w:lang w:val="en-US"/>
        </w:rPr>
        <w:t xml:space="preserve"> </w:t>
      </w:r>
      <w:r w:rsidR="00670CBC">
        <w:rPr>
          <w:lang w:val="en-US"/>
        </w:rPr>
        <w:t>hands over the right to self-determination to</w:t>
      </w:r>
      <w:r w:rsidR="00F86A32">
        <w:rPr>
          <w:lang w:val="en-US"/>
        </w:rPr>
        <w:t xml:space="preserve"> </w:t>
      </w:r>
      <w:r w:rsidR="00A83A59" w:rsidRPr="00691138">
        <w:rPr>
          <w:lang w:val="en-US"/>
        </w:rPr>
        <w:t>the government</w:t>
      </w:r>
      <w:r w:rsidR="00F86A32">
        <w:rPr>
          <w:lang w:val="en-US"/>
        </w:rPr>
        <w:t xml:space="preserve"> </w:t>
      </w:r>
      <w:r w:rsidR="00670CBC">
        <w:rPr>
          <w:lang w:val="en-US"/>
        </w:rPr>
        <w:t xml:space="preserve">and let </w:t>
      </w:r>
      <w:r w:rsidR="00F86A32">
        <w:rPr>
          <w:lang w:val="en-US"/>
        </w:rPr>
        <w:t xml:space="preserve">them </w:t>
      </w:r>
      <w:r w:rsidR="00A83A59" w:rsidRPr="00691138">
        <w:rPr>
          <w:lang w:val="en-US"/>
        </w:rPr>
        <w:t>de</w:t>
      </w:r>
      <w:r w:rsidR="00670CBC">
        <w:rPr>
          <w:lang w:val="en-US"/>
        </w:rPr>
        <w:t>cide</w:t>
      </w:r>
      <w:r w:rsidR="00F86A32">
        <w:rPr>
          <w:lang w:val="en-US"/>
        </w:rPr>
        <w:t xml:space="preserve"> </w:t>
      </w:r>
      <w:r w:rsidR="00A83A59" w:rsidRPr="00691138">
        <w:rPr>
          <w:lang w:val="en-US"/>
        </w:rPr>
        <w:t>when, how and to what extent information about the individual is communicated to others.</w:t>
      </w:r>
      <w:r w:rsidR="00A83A59">
        <w:rPr>
          <w:rStyle w:val="FootnoteReference"/>
          <w:lang w:val="en-US"/>
        </w:rPr>
        <w:footnoteReference w:id="67"/>
      </w:r>
      <w:r w:rsidR="00A83A59" w:rsidRPr="00691138">
        <w:rPr>
          <w:lang w:val="en-US"/>
        </w:rPr>
        <w:t xml:space="preserve"> </w:t>
      </w:r>
      <w:r w:rsidR="00A83A59">
        <w:rPr>
          <w:lang w:val="en-US"/>
        </w:rPr>
        <w:t>The link with the right to respect to private life as put forward in Article 8 ECHR, the original anchorage of the DPD</w:t>
      </w:r>
      <w:r w:rsidR="00A83A59">
        <w:rPr>
          <w:rStyle w:val="FootnoteReference"/>
          <w:lang w:val="en-US"/>
        </w:rPr>
        <w:footnoteReference w:id="68"/>
      </w:r>
      <w:r w:rsidR="00A83A59">
        <w:rPr>
          <w:lang w:val="en-US"/>
        </w:rPr>
        <w:t>, gradually moves to the background. The balancing between the rights of the individual to the respect of the private sphere and the public interest, seems to be irrelevant as long as the data is gathered under strict conditions for a legitimate purpose. There is no doubt that i</w:t>
      </w:r>
      <w:r w:rsidR="00A83A59" w:rsidRPr="00691138">
        <w:rPr>
          <w:lang w:val="en-US"/>
        </w:rPr>
        <w:t>n certain circumstances the communication of data is justified</w:t>
      </w:r>
      <w:r w:rsidR="00A83A59">
        <w:rPr>
          <w:lang w:val="en-US"/>
        </w:rPr>
        <w:t>,</w:t>
      </w:r>
      <w:r w:rsidR="00A83A59" w:rsidRPr="00691138">
        <w:rPr>
          <w:lang w:val="en-US"/>
        </w:rPr>
        <w:t xml:space="preserve"> </w:t>
      </w:r>
      <w:r w:rsidR="00A83A59">
        <w:rPr>
          <w:lang w:val="en-US"/>
        </w:rPr>
        <w:t>however</w:t>
      </w:r>
      <w:r w:rsidR="00A83A59" w:rsidRPr="00691138">
        <w:rPr>
          <w:lang w:val="en-US"/>
        </w:rPr>
        <w:t xml:space="preserve">, if society is constructed </w:t>
      </w:r>
      <w:r w:rsidR="0071020B">
        <w:rPr>
          <w:lang w:val="en-US"/>
        </w:rPr>
        <w:t>in a way</w:t>
      </w:r>
      <w:r w:rsidR="00A83A59" w:rsidRPr="00691138">
        <w:rPr>
          <w:lang w:val="en-US"/>
        </w:rPr>
        <w:t xml:space="preserve"> that every act of the individual causes the processing of data</w:t>
      </w:r>
      <w:r w:rsidR="00D56CEA">
        <w:rPr>
          <w:lang w:val="en-US"/>
        </w:rPr>
        <w:t xml:space="preserve"> that is captured in databases accessible by public authorities</w:t>
      </w:r>
      <w:r w:rsidR="00A83A59" w:rsidRPr="00691138">
        <w:rPr>
          <w:lang w:val="en-US"/>
        </w:rPr>
        <w:t>, the principle of proportionality is neglected.</w:t>
      </w:r>
      <w:r w:rsidR="00A83A59">
        <w:rPr>
          <w:lang w:val="en-US"/>
        </w:rPr>
        <w:t xml:space="preserve"> </w:t>
      </w:r>
      <w:r w:rsidR="00A83A59" w:rsidRPr="00691138">
        <w:rPr>
          <w:lang w:val="en-US"/>
        </w:rPr>
        <w:t xml:space="preserve">The steady appeal of the </w:t>
      </w:r>
      <w:r w:rsidR="00A83A59">
        <w:rPr>
          <w:lang w:val="en-US"/>
        </w:rPr>
        <w:t>Commission</w:t>
      </w:r>
      <w:r w:rsidR="00A83A59" w:rsidRPr="00691138">
        <w:rPr>
          <w:lang w:val="en-US"/>
        </w:rPr>
        <w:t xml:space="preserve"> </w:t>
      </w:r>
      <w:r w:rsidR="00A83A59">
        <w:rPr>
          <w:lang w:val="en-US"/>
        </w:rPr>
        <w:t>to</w:t>
      </w:r>
      <w:r w:rsidR="00A83A59" w:rsidRPr="00691138">
        <w:rPr>
          <w:lang w:val="en-US"/>
        </w:rPr>
        <w:t xml:space="preserve"> data</w:t>
      </w:r>
      <w:r w:rsidR="00A83A59">
        <w:rPr>
          <w:lang w:val="en-US"/>
        </w:rPr>
        <w:t xml:space="preserve"> </w:t>
      </w:r>
      <w:r w:rsidR="00A83A59" w:rsidRPr="00691138">
        <w:rPr>
          <w:lang w:val="en-US"/>
        </w:rPr>
        <w:t xml:space="preserve">protection to safeguard privacy in the </w:t>
      </w:r>
      <w:proofErr w:type="spellStart"/>
      <w:r w:rsidR="00A83A59" w:rsidRPr="00691138">
        <w:rPr>
          <w:lang w:val="en-US"/>
        </w:rPr>
        <w:t>IoT</w:t>
      </w:r>
      <w:proofErr w:type="spellEnd"/>
      <w:r w:rsidR="00A83A59" w:rsidRPr="00691138">
        <w:rPr>
          <w:lang w:val="en-US"/>
        </w:rPr>
        <w:t xml:space="preserve"> displays little concern for the context in which this</w:t>
      </w:r>
      <w:r w:rsidR="00A83A59">
        <w:rPr>
          <w:lang w:val="en-US"/>
        </w:rPr>
        <w:t xml:space="preserve"> </w:t>
      </w:r>
      <w:r w:rsidR="00A83A59" w:rsidRPr="00691138">
        <w:rPr>
          <w:i/>
          <w:lang w:val="en-US"/>
        </w:rPr>
        <w:t>fundamental right</w:t>
      </w:r>
      <w:r w:rsidR="00A83A59">
        <w:rPr>
          <w:rStyle w:val="FootnoteReference"/>
        </w:rPr>
        <w:footnoteReference w:id="69"/>
      </w:r>
      <w:r w:rsidR="00A83A59" w:rsidRPr="00691138">
        <w:rPr>
          <w:lang w:val="en-US"/>
        </w:rPr>
        <w:t xml:space="preserve"> should function. </w:t>
      </w:r>
      <w:r w:rsidR="00A8000E" w:rsidRPr="00691138">
        <w:rPr>
          <w:lang w:val="en-US"/>
        </w:rPr>
        <w:t>This justifies the question whether data</w:t>
      </w:r>
      <w:r w:rsidR="00A8000E">
        <w:rPr>
          <w:lang w:val="en-US"/>
        </w:rPr>
        <w:t xml:space="preserve"> </w:t>
      </w:r>
      <w:r w:rsidR="00A8000E" w:rsidRPr="00691138">
        <w:rPr>
          <w:lang w:val="en-US"/>
        </w:rPr>
        <w:t>protection should not be relabel</w:t>
      </w:r>
      <w:r w:rsidR="00A8000E">
        <w:rPr>
          <w:lang w:val="en-US"/>
        </w:rPr>
        <w:t xml:space="preserve">ed </w:t>
      </w:r>
      <w:r w:rsidR="00A8000E" w:rsidRPr="00A35B27">
        <w:rPr>
          <w:i/>
          <w:lang w:val="en-US"/>
        </w:rPr>
        <w:t>data dispossession</w:t>
      </w:r>
      <w:r w:rsidR="00A8000E" w:rsidRPr="00691138">
        <w:rPr>
          <w:lang w:val="en-US"/>
        </w:rPr>
        <w:t>.</w:t>
      </w:r>
      <w:r w:rsidR="00F86A32">
        <w:rPr>
          <w:lang w:val="en-US"/>
        </w:rPr>
        <w:t xml:space="preserve">  </w:t>
      </w:r>
    </w:p>
    <w:p w:rsidR="00A83A59" w:rsidRDefault="00A83A59" w:rsidP="00A83A59">
      <w:pPr>
        <w:rPr>
          <w:lang w:val="en-US"/>
        </w:rPr>
      </w:pPr>
      <w:r w:rsidRPr="00691138">
        <w:rPr>
          <w:lang w:val="en-US"/>
        </w:rPr>
        <w:t>Informational privacy is meant to give the individual some safeguards and control over the</w:t>
      </w:r>
      <w:r>
        <w:rPr>
          <w:lang w:val="en-US"/>
        </w:rPr>
        <w:t xml:space="preserve"> </w:t>
      </w:r>
      <w:r w:rsidRPr="00691138">
        <w:rPr>
          <w:lang w:val="en-US"/>
        </w:rPr>
        <w:t xml:space="preserve">data </w:t>
      </w:r>
      <w:r w:rsidR="00645B6D">
        <w:rPr>
          <w:lang w:val="en-US"/>
        </w:rPr>
        <w:t xml:space="preserve">processed </w:t>
      </w:r>
      <w:r w:rsidRPr="00691138">
        <w:rPr>
          <w:lang w:val="en-US"/>
        </w:rPr>
        <w:t xml:space="preserve">regarding him </w:t>
      </w:r>
      <w:r>
        <w:rPr>
          <w:lang w:val="en-US"/>
        </w:rPr>
        <w:t>or her</w:t>
      </w:r>
      <w:r w:rsidRPr="00691138">
        <w:rPr>
          <w:lang w:val="en-US"/>
        </w:rPr>
        <w:t xml:space="preserve">. The rationale is that processing of data can have implications for personal freedom. </w:t>
      </w:r>
      <w:r>
        <w:rPr>
          <w:lang w:val="en-US"/>
        </w:rPr>
        <w:t xml:space="preserve">This idea was already acknowledged in a society where computers were as big as elephants, and index cards were regarded as modern means of administration. The borderless character of the </w:t>
      </w:r>
      <w:proofErr w:type="spellStart"/>
      <w:r>
        <w:rPr>
          <w:lang w:val="en-US"/>
        </w:rPr>
        <w:t>IoT</w:t>
      </w:r>
      <w:proofErr w:type="spellEnd"/>
      <w:r>
        <w:rPr>
          <w:lang w:val="en-US"/>
        </w:rPr>
        <w:t xml:space="preserve"> will increasingly permeate every aspect of life. This does not only infringe upon informational privacy, </w:t>
      </w:r>
      <w:r w:rsidR="00E536B8">
        <w:rPr>
          <w:lang w:val="en-US"/>
        </w:rPr>
        <w:t xml:space="preserve">since </w:t>
      </w:r>
      <w:r>
        <w:rPr>
          <w:lang w:val="en-US"/>
        </w:rPr>
        <w:t>this development crosses the borders of the private sphere, registering people their behavior in their own house, therefore directly interfering with the right to respect for private life.</w:t>
      </w:r>
      <w:r>
        <w:rPr>
          <w:rStyle w:val="FootnoteReference"/>
          <w:lang w:val="en-US"/>
        </w:rPr>
        <w:footnoteReference w:id="70"/>
      </w:r>
      <w:r>
        <w:rPr>
          <w:lang w:val="en-US"/>
        </w:rPr>
        <w:t xml:space="preserve"> This will affect people their behavior and condition the way they perceive their environment and themselves. </w:t>
      </w:r>
    </w:p>
    <w:p w:rsidR="00694745" w:rsidRPr="00A8000E" w:rsidRDefault="00A83A59" w:rsidP="00A8000E">
      <w:pPr>
        <w:rPr>
          <w:lang w:val="en-US"/>
        </w:rPr>
      </w:pPr>
      <w:r w:rsidRPr="00691138">
        <w:rPr>
          <w:lang w:val="en-US"/>
        </w:rPr>
        <w:t>There are roughly two arguments</w:t>
      </w:r>
      <w:r>
        <w:rPr>
          <w:lang w:val="en-US"/>
        </w:rPr>
        <w:t xml:space="preserve"> for a stronger interpretation of data protection that goes beyond adequate data management and fully acknowledges the limiting effect of the processing of personal data on individual freedom</w:t>
      </w:r>
      <w:r w:rsidRPr="00691138">
        <w:rPr>
          <w:lang w:val="en-US"/>
        </w:rPr>
        <w:t>. In the first place it is important that the individual is not scrutinized in everything he</w:t>
      </w:r>
      <w:r>
        <w:rPr>
          <w:lang w:val="en-US"/>
        </w:rPr>
        <w:t xml:space="preserve"> or she</w:t>
      </w:r>
      <w:r w:rsidRPr="00691138">
        <w:rPr>
          <w:lang w:val="en-US"/>
        </w:rPr>
        <w:t xml:space="preserve"> does, because this will result in a disciplinary effect that is often compared to the central idea behind the design of the </w:t>
      </w:r>
      <w:proofErr w:type="spellStart"/>
      <w:r w:rsidRPr="00691138">
        <w:rPr>
          <w:lang w:val="en-US"/>
        </w:rPr>
        <w:t>panopticon</w:t>
      </w:r>
      <w:proofErr w:type="spellEnd"/>
      <w:r w:rsidRPr="00691138">
        <w:rPr>
          <w:lang w:val="en-US"/>
        </w:rPr>
        <w:t>.</w:t>
      </w:r>
      <w:r>
        <w:rPr>
          <w:rStyle w:val="FootnoteReference"/>
          <w:lang w:val="en-US"/>
        </w:rPr>
        <w:footnoteReference w:id="71"/>
      </w:r>
      <w:r w:rsidRPr="00691138">
        <w:rPr>
          <w:lang w:val="en-US"/>
        </w:rPr>
        <w:t xml:space="preserve"> A person is not able to act freely if all or most of his </w:t>
      </w:r>
      <w:r>
        <w:rPr>
          <w:lang w:val="en-US"/>
        </w:rPr>
        <w:t xml:space="preserve">or her </w:t>
      </w:r>
      <w:r w:rsidRPr="00691138">
        <w:rPr>
          <w:lang w:val="en-US"/>
        </w:rPr>
        <w:t xml:space="preserve">actions suffer under the disciplinary effect of scrutiny. The underlying value of this argument is freedom. Second, the unbridled registration and processing of personal data can result in decisions being taken that affect the individual without </w:t>
      </w:r>
      <w:r>
        <w:rPr>
          <w:lang w:val="en-US"/>
        </w:rPr>
        <w:t>any</w:t>
      </w:r>
      <w:r w:rsidRPr="00691138">
        <w:rPr>
          <w:lang w:val="en-US"/>
        </w:rPr>
        <w:t xml:space="preserve"> understanding how other actors arrive at this decision.</w:t>
      </w:r>
      <w:r>
        <w:rPr>
          <w:rStyle w:val="FootnoteReference"/>
        </w:rPr>
        <w:footnoteReference w:id="72"/>
      </w:r>
      <w:r w:rsidRPr="00691138">
        <w:rPr>
          <w:lang w:val="en-US"/>
        </w:rPr>
        <w:t xml:space="preserve"> The underlying value of this argument is autonomy. </w:t>
      </w:r>
    </w:p>
    <w:p w:rsidR="00AF590B" w:rsidRDefault="00E37E60" w:rsidP="002639E3">
      <w:pPr>
        <w:pStyle w:val="Heading3"/>
        <w:numPr>
          <w:ilvl w:val="1"/>
          <w:numId w:val="13"/>
        </w:numPr>
        <w:rPr>
          <w:lang w:val="en-US"/>
        </w:rPr>
      </w:pPr>
      <w:bookmarkStart w:id="22" w:name="_Toc346967726"/>
      <w:bookmarkStart w:id="23" w:name="_Toc347068605"/>
      <w:bookmarkStart w:id="24" w:name="_Toc347145361"/>
      <w:r>
        <w:rPr>
          <w:lang w:val="en-US"/>
        </w:rPr>
        <w:lastRenderedPageBreak/>
        <w:t>Fuelling the surveillance engine</w:t>
      </w:r>
      <w:bookmarkEnd w:id="22"/>
      <w:bookmarkEnd w:id="23"/>
      <w:bookmarkEnd w:id="24"/>
    </w:p>
    <w:p w:rsidR="004A2359" w:rsidRDefault="004A2359" w:rsidP="00E37E60">
      <w:pPr>
        <w:spacing w:after="0"/>
        <w:rPr>
          <w:lang w:val="en-US"/>
        </w:rPr>
      </w:pPr>
      <w:r>
        <w:rPr>
          <w:lang w:val="en-US" w:eastAsia="nl-NL"/>
        </w:rPr>
        <w:t>B</w:t>
      </w:r>
      <w:r w:rsidR="00F04C31" w:rsidRPr="00F04C31">
        <w:rPr>
          <w:lang w:val="en-US"/>
        </w:rPr>
        <w:t xml:space="preserve">efore the digitalization of society, data was either not created, or only stored locally. Through modern ICT, however, data attained a different character. It transformed from </w:t>
      </w:r>
      <w:r w:rsidR="00F04C31" w:rsidRPr="00F04C31">
        <w:rPr>
          <w:i/>
          <w:lang w:val="en-US"/>
        </w:rPr>
        <w:t>isolated</w:t>
      </w:r>
      <w:r w:rsidR="00F04C31" w:rsidRPr="00F04C31">
        <w:rPr>
          <w:lang w:val="en-US"/>
        </w:rPr>
        <w:t xml:space="preserve"> data used in a single context to </w:t>
      </w:r>
      <w:r w:rsidR="00F04C31" w:rsidRPr="00F04C31">
        <w:rPr>
          <w:i/>
          <w:lang w:val="en-US"/>
        </w:rPr>
        <w:t xml:space="preserve">connected </w:t>
      </w:r>
      <w:r w:rsidR="00F04C31" w:rsidRPr="00F04C31">
        <w:rPr>
          <w:lang w:val="en-US"/>
        </w:rPr>
        <w:t xml:space="preserve">data that serve a multitude of contexts. This transformation allows data to become fuel for an surveillance society that is constructed on the footing of connectivity and interoperability, in EU parlance on the </w:t>
      </w:r>
      <w:proofErr w:type="spellStart"/>
      <w:r w:rsidR="00F04C31" w:rsidRPr="00F04C31">
        <w:rPr>
          <w:lang w:val="en-US"/>
        </w:rPr>
        <w:t>IoT</w:t>
      </w:r>
      <w:proofErr w:type="spellEnd"/>
      <w:r w:rsidR="00F04C31" w:rsidRPr="00F04C31">
        <w:rPr>
          <w:lang w:val="en-US"/>
        </w:rPr>
        <w:t xml:space="preserve"> sometimes fused together as </w:t>
      </w:r>
      <w:r w:rsidR="00F04C31" w:rsidRPr="00F04C31">
        <w:rPr>
          <w:i/>
          <w:lang w:val="en-US"/>
        </w:rPr>
        <w:t>interconnectivity</w:t>
      </w:r>
      <w:r w:rsidR="00F04C31" w:rsidRPr="00F04C31">
        <w:rPr>
          <w:lang w:val="en-US"/>
        </w:rPr>
        <w:t xml:space="preserve">. This term is </w:t>
      </w:r>
      <w:r>
        <w:rPr>
          <w:lang w:val="en-US"/>
        </w:rPr>
        <w:t xml:space="preserve">used in many EU reports on the </w:t>
      </w:r>
      <w:proofErr w:type="spellStart"/>
      <w:r>
        <w:rPr>
          <w:lang w:val="en-US"/>
        </w:rPr>
        <w:t>IoT</w:t>
      </w:r>
      <w:proofErr w:type="spellEnd"/>
      <w:r>
        <w:rPr>
          <w:lang w:val="en-US"/>
        </w:rPr>
        <w:t xml:space="preserve"> to express the desire to standardize data</w:t>
      </w:r>
      <w:r w:rsidR="00D4566C">
        <w:rPr>
          <w:lang w:val="en-US"/>
        </w:rPr>
        <w:t>,</w:t>
      </w:r>
      <w:r>
        <w:rPr>
          <w:lang w:val="en-US"/>
        </w:rPr>
        <w:t xml:space="preserve"> allowing it to irrigate every aspect of life in a digitalized society.</w:t>
      </w:r>
      <w:r w:rsidR="00F04C31" w:rsidRPr="00F04C31">
        <w:rPr>
          <w:rStyle w:val="FootnoteReference"/>
          <w:lang w:val="en-US"/>
        </w:rPr>
        <w:t xml:space="preserve"> </w:t>
      </w:r>
      <w:r>
        <w:rPr>
          <w:rStyle w:val="FootnoteReference"/>
        </w:rPr>
        <w:footnoteReference w:id="73"/>
      </w:r>
      <w:r w:rsidR="00F04C31" w:rsidRPr="00F04C31">
        <w:rPr>
          <w:lang w:val="en-US"/>
        </w:rPr>
        <w:t xml:space="preserve"> </w:t>
      </w:r>
      <w:r>
        <w:rPr>
          <w:lang w:val="en-US"/>
        </w:rPr>
        <w:t xml:space="preserve">Although it could be argued that processing data this way does not contribute to the integrity of data, since the meaning derived from it is context-dependent, the plea for efficiency is hard to counter. According to the </w:t>
      </w:r>
      <w:r w:rsidR="00F04C31" w:rsidRPr="00F04C31">
        <w:rPr>
          <w:lang w:val="en-US"/>
        </w:rPr>
        <w:t>Cluster of European Research Projects on the Internet of Things (CERP-</w:t>
      </w:r>
      <w:proofErr w:type="spellStart"/>
      <w:r w:rsidR="00F04C31" w:rsidRPr="00F04C31">
        <w:rPr>
          <w:lang w:val="en-US"/>
        </w:rPr>
        <w:t>IoT</w:t>
      </w:r>
      <w:proofErr w:type="spellEnd"/>
      <w:r w:rsidR="00F04C31" w:rsidRPr="00F04C31">
        <w:rPr>
          <w:lang w:val="en-US"/>
        </w:rPr>
        <w:t>)</w:t>
      </w:r>
      <w:r w:rsidR="00D4566C">
        <w:rPr>
          <w:lang w:val="en-US"/>
        </w:rPr>
        <w:t>-</w:t>
      </w:r>
      <w:r>
        <w:rPr>
          <w:lang w:val="en-US"/>
        </w:rPr>
        <w:t>report the advancement of technology renders the processing capabilities more accessible and versatile “the opportunity for even tighter interconnectivity is fuelling the desire to make use of these possibilities”.</w:t>
      </w:r>
      <w:r w:rsidR="00F04C31" w:rsidRPr="00F04C31">
        <w:rPr>
          <w:rStyle w:val="FootnoteReference"/>
          <w:lang w:val="en-US"/>
        </w:rPr>
        <w:t xml:space="preserve"> </w:t>
      </w:r>
      <w:r>
        <w:rPr>
          <w:rStyle w:val="FootnoteReference"/>
        </w:rPr>
        <w:footnoteReference w:id="74"/>
      </w:r>
      <w:r w:rsidR="00F04C31" w:rsidRPr="00F04C31">
        <w:rPr>
          <w:lang w:val="en-US"/>
        </w:rPr>
        <w:t xml:space="preserve"> This sentence catches a very important characteristic in the attitude of policymakers when it comes to the sharing of data: if it is possible, than why should we not do it? This echoes Hannah Arendt her thought on science. According to her it is not so much about what we want, but more about what we can, that forces people to do the possible, despite the consequences.</w:t>
      </w:r>
      <w:r>
        <w:rPr>
          <w:rStyle w:val="FootnoteReference"/>
        </w:rPr>
        <w:footnoteReference w:id="75"/>
      </w:r>
      <w:r w:rsidR="00F04C31" w:rsidRPr="00F04C31">
        <w:rPr>
          <w:lang w:val="en-US"/>
        </w:rPr>
        <w:t xml:space="preserve"> The pragmatic approach to the processing of data sharply contrasts with one of the fundamental principles of the Data Protection Directive</w:t>
      </w:r>
      <w:r w:rsidR="00AC4309">
        <w:rPr>
          <w:rStyle w:val="FootnoteReference"/>
        </w:rPr>
        <w:footnoteReference w:id="76"/>
      </w:r>
      <w:r w:rsidR="00F04C31" w:rsidRPr="00F04C31">
        <w:rPr>
          <w:lang w:val="en-US"/>
        </w:rPr>
        <w:t xml:space="preserve"> (hereafter DPD) in Europe, i.e. the purpose specification and limitation principle. This principle requires that personal data must be collected for specified, explicit and legitimate purposes and not further processed in a way incompatible with those purposes.</w:t>
      </w:r>
      <w:r>
        <w:rPr>
          <w:rStyle w:val="FootnoteReference"/>
        </w:rPr>
        <w:footnoteReference w:id="77"/>
      </w:r>
      <w:r w:rsidR="00F04C31" w:rsidRPr="00F04C31">
        <w:rPr>
          <w:lang w:val="en-US"/>
        </w:rPr>
        <w:t xml:space="preserve"> </w:t>
      </w:r>
      <w:r w:rsidRPr="002B03EC">
        <w:rPr>
          <w:lang w:val="en-US"/>
        </w:rPr>
        <w:t xml:space="preserve">It is remarkable that </w:t>
      </w:r>
      <w:r>
        <w:rPr>
          <w:lang w:val="en-US"/>
        </w:rPr>
        <w:t xml:space="preserve">further processing incompatible with the purposes of the original data collection, in other words </w:t>
      </w:r>
      <w:r w:rsidRPr="003F17D1">
        <w:rPr>
          <w:i/>
          <w:lang w:val="en-US"/>
        </w:rPr>
        <w:t>purpose creep</w:t>
      </w:r>
      <w:r>
        <w:rPr>
          <w:lang w:val="en-US"/>
        </w:rPr>
        <w:t xml:space="preserve">, seems to be a core value of EU’s </w:t>
      </w:r>
      <w:proofErr w:type="spellStart"/>
      <w:r>
        <w:rPr>
          <w:lang w:val="en-US"/>
        </w:rPr>
        <w:t>IoT</w:t>
      </w:r>
      <w:proofErr w:type="spellEnd"/>
      <w:r>
        <w:rPr>
          <w:lang w:val="en-US"/>
        </w:rPr>
        <w:t xml:space="preserve"> vision.</w:t>
      </w:r>
    </w:p>
    <w:p w:rsidR="004A2359" w:rsidRDefault="004A2359" w:rsidP="00E37E60">
      <w:pPr>
        <w:spacing w:after="0"/>
        <w:rPr>
          <w:lang w:val="en-US"/>
        </w:rPr>
      </w:pPr>
    </w:p>
    <w:p w:rsidR="00E37E60" w:rsidRPr="009F0023" w:rsidRDefault="00E37E60" w:rsidP="00E37E60">
      <w:pPr>
        <w:spacing w:after="0"/>
        <w:rPr>
          <w:lang w:val="en-US"/>
        </w:rPr>
      </w:pPr>
      <w:r w:rsidRPr="009F0023">
        <w:rPr>
          <w:lang w:val="en-US"/>
        </w:rPr>
        <w:t xml:space="preserve">The fact that the data in the </w:t>
      </w:r>
      <w:proofErr w:type="spellStart"/>
      <w:r w:rsidRPr="009F0023">
        <w:rPr>
          <w:lang w:val="en-US"/>
        </w:rPr>
        <w:t>IoT</w:t>
      </w:r>
      <w:proofErr w:type="spellEnd"/>
      <w:r w:rsidRPr="009F0023">
        <w:rPr>
          <w:lang w:val="en-US"/>
        </w:rPr>
        <w:t xml:space="preserve"> will be routed over the Internet creates a problem with regard to privacy. Every interaction with a device over the Internet leaves digital traces in the form of traffic- and location data, which are retained in EU countries under the controversial Data Retention Directive 2006/24/EC (DRD).</w:t>
      </w:r>
      <w:r w:rsidRPr="00962002">
        <w:rPr>
          <w:rStyle w:val="FootnoteReference"/>
        </w:rPr>
        <w:footnoteReference w:id="78"/>
      </w:r>
      <w:r w:rsidRPr="009F0023">
        <w:rPr>
          <w:lang w:val="en-US"/>
        </w:rPr>
        <w:t xml:space="preserve"> </w:t>
      </w:r>
      <w:r w:rsidR="00842D82" w:rsidRPr="009F0023">
        <w:rPr>
          <w:lang w:val="en-US"/>
        </w:rPr>
        <w:t>Under the DRD the data is made “available for the purpose of the investigation, detection and prosecution of serious crime, as defined by each Member State in its national law.”</w:t>
      </w:r>
      <w:r w:rsidR="00842D82" w:rsidRPr="0089358C">
        <w:rPr>
          <w:rStyle w:val="FootnoteReference"/>
        </w:rPr>
        <w:footnoteReference w:id="79"/>
      </w:r>
      <w:r w:rsidR="00842D82" w:rsidRPr="009F0023">
        <w:rPr>
          <w:lang w:val="en-US"/>
        </w:rPr>
        <w:t xml:space="preserve"> </w:t>
      </w:r>
      <w:r w:rsidRPr="009F0023">
        <w:rPr>
          <w:lang w:val="en-US"/>
        </w:rPr>
        <w:t xml:space="preserve">This way data that is gathered for one goal, providing services to consumers in the </w:t>
      </w:r>
      <w:proofErr w:type="spellStart"/>
      <w:r w:rsidRPr="009F0023">
        <w:rPr>
          <w:lang w:val="en-US"/>
        </w:rPr>
        <w:t>IoT</w:t>
      </w:r>
      <w:proofErr w:type="spellEnd"/>
      <w:r w:rsidRPr="009F0023">
        <w:rPr>
          <w:lang w:val="en-US"/>
        </w:rPr>
        <w:t xml:space="preserve">, will latently and simultaneously serve another goal as well, namely feeding into the </w:t>
      </w:r>
      <w:r w:rsidR="00D4566C">
        <w:rPr>
          <w:lang w:val="en-US"/>
        </w:rPr>
        <w:t>surveillance</w:t>
      </w:r>
      <w:r w:rsidR="00D4566C" w:rsidRPr="009F0023">
        <w:rPr>
          <w:lang w:val="en-US"/>
        </w:rPr>
        <w:t xml:space="preserve"> </w:t>
      </w:r>
      <w:r w:rsidRPr="009F0023">
        <w:rPr>
          <w:lang w:val="en-US"/>
        </w:rPr>
        <w:t xml:space="preserve">apparatus of the state. Although this is not a new phenomenon in itself, it already happens with the current data that is transmitted over publicly available electronic communication networks, the amount of data and the level of detail will increase dramatically and leave less space for citizens to </w:t>
      </w:r>
      <w:r w:rsidRPr="009F0023">
        <w:rPr>
          <w:lang w:val="en-US"/>
        </w:rPr>
        <w:lastRenderedPageBreak/>
        <w:t xml:space="preserve">keep information about their lives to themselves. </w:t>
      </w:r>
      <w:r w:rsidR="00010F56">
        <w:rPr>
          <w:lang w:val="en-US"/>
        </w:rPr>
        <w:t>In</w:t>
      </w:r>
      <w:r w:rsidR="00F86A32">
        <w:rPr>
          <w:lang w:val="en-US"/>
        </w:rPr>
        <w:t xml:space="preserve"> </w:t>
      </w:r>
      <w:r w:rsidR="00010F56">
        <w:rPr>
          <w:lang w:val="en-US"/>
        </w:rPr>
        <w:t>Article 1 of the DRD the aim is set to “</w:t>
      </w:r>
      <w:proofErr w:type="spellStart"/>
      <w:r w:rsidR="00010F56">
        <w:rPr>
          <w:lang w:val="en-US"/>
        </w:rPr>
        <w:t>harmonise</w:t>
      </w:r>
      <w:proofErr w:type="spellEnd"/>
      <w:r w:rsidR="00010F56">
        <w:rPr>
          <w:lang w:val="en-US"/>
        </w:rPr>
        <w:t xml:space="preserve"> Member States’ provisions concerning the obligations of the providers of publicly available electronic communications services or of public communications networks with respect to the retention of certain data”. </w:t>
      </w:r>
      <w:r w:rsidRPr="009F0023">
        <w:rPr>
          <w:lang w:val="en-US"/>
        </w:rPr>
        <w:t xml:space="preserve">Consideration 13 of the DRD makes clear that it only relates to “data generated or processed as a consequence of a communication or a communication service and does not relate to data that are the content of the information communicated”. Later this is confirmed in Article 1 (2). In a footnote of the proposal of the draft framework decision on the DRD it is written that the Presidency proposed to replace “data” by “communication data” in Article 1 to prevent confusion about the kind of data that is meant and “in particular to make it apparent that content data is not included”. Clearly, the thought behind this is that this type of data is less personal and this justifies the retention. However, if the DRD is applied to </w:t>
      </w:r>
      <w:proofErr w:type="spellStart"/>
      <w:r w:rsidRPr="009F0023">
        <w:rPr>
          <w:lang w:val="en-US"/>
        </w:rPr>
        <w:t>IoT</w:t>
      </w:r>
      <w:proofErr w:type="spellEnd"/>
      <w:r w:rsidRPr="009F0023">
        <w:rPr>
          <w:lang w:val="en-US"/>
        </w:rPr>
        <w:t>-systems that will lead to a continuous increase of the processing of “communication data” it becomes all the more evident that this thought is or soon will be outdated. This can be illustrated by some elaboration on the previous examples</w:t>
      </w:r>
      <w:r w:rsidR="00A83A59" w:rsidRPr="009F0023">
        <w:rPr>
          <w:lang w:val="en-US"/>
        </w:rPr>
        <w:t xml:space="preserve"> from paragraph 1.1</w:t>
      </w:r>
      <w:r w:rsidRPr="009F0023">
        <w:rPr>
          <w:lang w:val="en-US"/>
        </w:rPr>
        <w:t>.</w:t>
      </w:r>
      <w:r w:rsidR="00F86A32">
        <w:rPr>
          <w:lang w:val="en-US"/>
        </w:rPr>
        <w:t xml:space="preserve"> </w:t>
      </w:r>
    </w:p>
    <w:p w:rsidR="00E37E60" w:rsidRPr="009F0023" w:rsidRDefault="00E37E60" w:rsidP="00E37E60">
      <w:pPr>
        <w:spacing w:after="0"/>
        <w:rPr>
          <w:lang w:val="en-US"/>
        </w:rPr>
      </w:pPr>
    </w:p>
    <w:p w:rsidR="00E37E60" w:rsidRPr="009F0023" w:rsidRDefault="00E37E60" w:rsidP="00E37E60">
      <w:pPr>
        <w:spacing w:after="0"/>
        <w:rPr>
          <w:lang w:val="en-US"/>
        </w:rPr>
      </w:pPr>
      <w:r w:rsidRPr="009F0023">
        <w:rPr>
          <w:lang w:val="en-US"/>
        </w:rPr>
        <w:t>When people start wearing medical devices that are connected to the Internet the location data of these medical devices do not differ from the data that is acquired through any other tracking device. The traffic data that is produced might even reveal highly personal information regarding ones health. When Jay Radcliffe, a hacker, announced that he found security holes in his own insulin pump, he showed the world that privacy is not the only concern here.</w:t>
      </w:r>
      <w:r>
        <w:rPr>
          <w:rStyle w:val="FootnoteReference"/>
        </w:rPr>
        <w:footnoteReference w:id="80"/>
      </w:r>
      <w:r w:rsidR="003F17D1">
        <w:rPr>
          <w:lang w:val="en-US"/>
        </w:rPr>
        <w:t xml:space="preserve"> He pro</w:t>
      </w:r>
      <w:r w:rsidRPr="009F0023">
        <w:rPr>
          <w:lang w:val="en-US"/>
        </w:rPr>
        <w:t xml:space="preserve">ved to be able to command insulin pumps from a similar type to dispense a fatal dosage of insulin. This might sound like a patients nightmare, </w:t>
      </w:r>
      <w:r w:rsidR="00010F56">
        <w:rPr>
          <w:lang w:val="en-US"/>
        </w:rPr>
        <w:t>still</w:t>
      </w:r>
      <w:r w:rsidR="00010F56" w:rsidRPr="009F0023">
        <w:rPr>
          <w:lang w:val="en-US"/>
        </w:rPr>
        <w:t xml:space="preserve"> </w:t>
      </w:r>
      <w:r w:rsidRPr="009F0023">
        <w:rPr>
          <w:lang w:val="en-US"/>
        </w:rPr>
        <w:t>it should not be disregarded that possibilities like these could be</w:t>
      </w:r>
      <w:r w:rsidR="00F15F77">
        <w:rPr>
          <w:lang w:val="en-US"/>
        </w:rPr>
        <w:t xml:space="preserve"> very usefu</w:t>
      </w:r>
      <w:r w:rsidRPr="009F0023">
        <w:rPr>
          <w:lang w:val="en-US"/>
        </w:rPr>
        <w:t>l for intelligence agencies to take preventive measures.</w:t>
      </w:r>
      <w:r w:rsidR="00010F56">
        <w:rPr>
          <w:rStyle w:val="FootnoteReference"/>
          <w:lang w:val="en-US"/>
        </w:rPr>
        <w:footnoteReference w:id="81"/>
      </w:r>
      <w:r w:rsidRPr="009F0023">
        <w:rPr>
          <w:lang w:val="en-US"/>
        </w:rPr>
        <w:t xml:space="preserve"> </w:t>
      </w:r>
    </w:p>
    <w:p w:rsidR="00E37E60" w:rsidRPr="009F0023" w:rsidRDefault="00E37E60" w:rsidP="00E37E60">
      <w:pPr>
        <w:spacing w:after="0"/>
        <w:rPr>
          <w:lang w:val="en-US"/>
        </w:rPr>
      </w:pPr>
    </w:p>
    <w:p w:rsidR="00E37E60" w:rsidRDefault="0071020B" w:rsidP="00E37E60">
      <w:pPr>
        <w:spacing w:after="0"/>
        <w:rPr>
          <w:lang w:val="en-US"/>
        </w:rPr>
      </w:pPr>
      <w:r w:rsidRPr="009F0023">
        <w:rPr>
          <w:lang w:val="en-US"/>
        </w:rPr>
        <w:t>T</w:t>
      </w:r>
      <w:r w:rsidR="00E37E60" w:rsidRPr="009F0023">
        <w:rPr>
          <w:lang w:val="en-US"/>
        </w:rPr>
        <w:t>he example above is a glance in</w:t>
      </w:r>
      <w:r w:rsidR="00CC5CE8">
        <w:rPr>
          <w:lang w:val="en-US"/>
        </w:rPr>
        <w:t>to</w:t>
      </w:r>
      <w:r w:rsidR="00E37E60" w:rsidRPr="009F0023">
        <w:rPr>
          <w:lang w:val="en-US"/>
        </w:rPr>
        <w:t xml:space="preserve"> the future, smart meters are already here and show interesting potential for surveillance combined with the DRD. Although</w:t>
      </w:r>
      <w:r w:rsidR="00E37E60">
        <w:rPr>
          <w:lang w:val="en-US"/>
        </w:rPr>
        <w:t xml:space="preserve"> there is no reference made in the recommendation on the roll-out of smart meters</w:t>
      </w:r>
      <w:r w:rsidR="00E37E60">
        <w:rPr>
          <w:rStyle w:val="FootnoteReference"/>
          <w:lang w:val="en-US"/>
        </w:rPr>
        <w:footnoteReference w:id="82"/>
      </w:r>
      <w:r w:rsidR="00E37E60">
        <w:rPr>
          <w:lang w:val="en-US"/>
        </w:rPr>
        <w:t xml:space="preserve"> to the DRD, by stating that Directive 2002/58/EC</w:t>
      </w:r>
      <w:r w:rsidR="00E37E60">
        <w:rPr>
          <w:rStyle w:val="FootnoteReference"/>
          <w:lang w:val="en-US"/>
        </w:rPr>
        <w:footnoteReference w:id="83"/>
      </w:r>
      <w:r w:rsidR="00E37E60">
        <w:rPr>
          <w:lang w:val="en-US"/>
        </w:rPr>
        <w:t xml:space="preserve"> is fully applicable to the processing of personal data by smart meters, “in particular in the use of publicly available electronic communications services for contractual and commercial relations with customers” the communication of the smart meter is explicitly brought under the scope of the DRD</w:t>
      </w:r>
      <w:r w:rsidR="00010F56">
        <w:rPr>
          <w:lang w:val="en-US"/>
        </w:rPr>
        <w:t>.</w:t>
      </w:r>
      <w:r w:rsidR="00E37E60">
        <w:rPr>
          <w:lang w:val="en-US"/>
        </w:rPr>
        <w:t xml:space="preserve">, In the future smart meters will be able to communicate with smart devices when they are equipped with a </w:t>
      </w:r>
      <w:r w:rsidR="00E37E60" w:rsidRPr="00BB27A2">
        <w:rPr>
          <w:lang w:val="en-US"/>
        </w:rPr>
        <w:t>so-called Home Area Network (HAN) gateway that enables this communication.</w:t>
      </w:r>
      <w:r w:rsidR="00E37E60">
        <w:rPr>
          <w:rStyle w:val="FootnoteReference"/>
        </w:rPr>
        <w:footnoteReference w:id="84"/>
      </w:r>
      <w:r w:rsidR="00E37E60" w:rsidRPr="00BB27A2">
        <w:rPr>
          <w:lang w:val="en-US"/>
        </w:rPr>
        <w:t xml:space="preserve"> </w:t>
      </w:r>
      <w:r w:rsidR="00E37E60">
        <w:rPr>
          <w:rStyle w:val="Strong"/>
          <w:b w:val="0"/>
          <w:lang w:val="en-US"/>
        </w:rPr>
        <w:t xml:space="preserve">This is one way that the </w:t>
      </w:r>
      <w:proofErr w:type="spellStart"/>
      <w:r w:rsidR="00E37E60">
        <w:rPr>
          <w:rStyle w:val="Strong"/>
          <w:b w:val="0"/>
          <w:lang w:val="en-US"/>
        </w:rPr>
        <w:t>IoT</w:t>
      </w:r>
      <w:proofErr w:type="spellEnd"/>
      <w:r w:rsidR="00E37E60">
        <w:rPr>
          <w:rStyle w:val="Strong"/>
          <w:b w:val="0"/>
          <w:lang w:val="en-US"/>
        </w:rPr>
        <w:t xml:space="preserve"> can recognize</w:t>
      </w:r>
      <w:r w:rsidR="00E37E60" w:rsidRPr="009F0840">
        <w:rPr>
          <w:rStyle w:val="Strong"/>
          <w:b w:val="0"/>
          <w:lang w:val="en-US"/>
        </w:rPr>
        <w:t>, loca</w:t>
      </w:r>
      <w:r w:rsidR="00E37E60">
        <w:rPr>
          <w:rStyle w:val="Strong"/>
          <w:b w:val="0"/>
          <w:lang w:val="en-US"/>
        </w:rPr>
        <w:t>te, address and/or control</w:t>
      </w:r>
      <w:r w:rsidR="00F86A32">
        <w:rPr>
          <w:rStyle w:val="Strong"/>
          <w:b w:val="0"/>
          <w:lang w:val="en-US"/>
        </w:rPr>
        <w:t xml:space="preserve"> </w:t>
      </w:r>
      <w:r w:rsidR="00E37E60">
        <w:rPr>
          <w:rStyle w:val="Strong"/>
          <w:b w:val="0"/>
          <w:lang w:val="en-US"/>
        </w:rPr>
        <w:t xml:space="preserve">objects </w:t>
      </w:r>
      <w:r w:rsidR="00E37E60" w:rsidRPr="009F0840">
        <w:rPr>
          <w:rStyle w:val="Strong"/>
          <w:b w:val="0"/>
          <w:lang w:val="en-US"/>
        </w:rPr>
        <w:t xml:space="preserve">remotely through the </w:t>
      </w:r>
      <w:r w:rsidR="00E37E60">
        <w:rPr>
          <w:rStyle w:val="Strong"/>
          <w:b w:val="0"/>
          <w:lang w:val="en-US"/>
        </w:rPr>
        <w:t>I</w:t>
      </w:r>
      <w:r w:rsidR="00E37E60" w:rsidRPr="009F0840">
        <w:rPr>
          <w:rStyle w:val="Strong"/>
          <w:b w:val="0"/>
          <w:lang w:val="en-US"/>
        </w:rPr>
        <w:t>nternet.</w:t>
      </w:r>
      <w:r w:rsidR="00E37E60">
        <w:rPr>
          <w:rStyle w:val="FootnoteReference"/>
          <w:bCs/>
        </w:rPr>
        <w:footnoteReference w:id="85"/>
      </w:r>
      <w:r w:rsidR="00E37E60">
        <w:rPr>
          <w:rStyle w:val="Strong"/>
          <w:b w:val="0"/>
          <w:lang w:val="en-US"/>
        </w:rPr>
        <w:t xml:space="preserve"> </w:t>
      </w:r>
      <w:r w:rsidR="00E37E60">
        <w:rPr>
          <w:lang w:val="en-US"/>
        </w:rPr>
        <w:t>Although smart devices are not yet a widespread phenomenon, a recent study from IMS research predicts the global shipment of around 400 million ‘smart home energy devices’ (including smart appliances)</w:t>
      </w:r>
      <w:r w:rsidR="00CC5CE8">
        <w:rPr>
          <w:lang w:val="en-US"/>
        </w:rPr>
        <w:t xml:space="preserve"> </w:t>
      </w:r>
      <w:r w:rsidR="00E37E60">
        <w:rPr>
          <w:lang w:val="en-US"/>
        </w:rPr>
        <w:t>in the next five years.</w:t>
      </w:r>
      <w:r w:rsidR="00E37E60">
        <w:rPr>
          <w:rStyle w:val="FootnoteReference"/>
        </w:rPr>
        <w:footnoteReference w:id="86"/>
      </w:r>
      <w:r w:rsidR="00E37E60">
        <w:rPr>
          <w:lang w:val="en-US"/>
        </w:rPr>
        <w:t xml:space="preserve"> Communication to devices over the Internet will create </w:t>
      </w:r>
      <w:r w:rsidR="00E37E60">
        <w:rPr>
          <w:lang w:val="en-US"/>
        </w:rPr>
        <w:lastRenderedPageBreak/>
        <w:t>location- and traffic data and sensitive data might be stored on smart devices themselves.</w:t>
      </w:r>
      <w:r w:rsidR="00E37E60">
        <w:rPr>
          <w:rStyle w:val="FootnoteReference"/>
        </w:rPr>
        <w:footnoteReference w:id="87"/>
      </w:r>
      <w:r w:rsidR="00E37E60">
        <w:rPr>
          <w:lang w:val="en-US"/>
        </w:rPr>
        <w:t xml:space="preserve"> A telephone bill show</w:t>
      </w:r>
      <w:r w:rsidR="00F15F77">
        <w:rPr>
          <w:lang w:val="en-US"/>
        </w:rPr>
        <w:t>s</w:t>
      </w:r>
      <w:r w:rsidR="00E37E60">
        <w:rPr>
          <w:lang w:val="en-US"/>
        </w:rPr>
        <w:t xml:space="preserve"> you the numbers you </w:t>
      </w:r>
      <w:r w:rsidR="00010F56">
        <w:rPr>
          <w:lang w:val="en-US"/>
        </w:rPr>
        <w:t>dialed</w:t>
      </w:r>
      <w:r w:rsidR="00E37E60">
        <w:rPr>
          <w:lang w:val="en-US"/>
        </w:rPr>
        <w:t>, the actual time and the length of your call. It is not hard to imagine a</w:t>
      </w:r>
      <w:r w:rsidR="00010F56">
        <w:rPr>
          <w:lang w:val="en-US"/>
        </w:rPr>
        <w:t>n</w:t>
      </w:r>
      <w:r w:rsidR="00E37E60">
        <w:rPr>
          <w:lang w:val="en-US"/>
        </w:rPr>
        <w:t xml:space="preserve"> evenly detailed report on the devices that are used in the home. </w:t>
      </w:r>
      <w:r w:rsidR="00E37E60" w:rsidRPr="00BB27A2">
        <w:rPr>
          <w:lang w:val="en-US"/>
        </w:rPr>
        <w:t>It could be that the utility requires the customer to register his HAN device with the utility, in order to establish a secure co</w:t>
      </w:r>
      <w:r w:rsidR="00E37E60">
        <w:rPr>
          <w:lang w:val="en-US"/>
        </w:rPr>
        <w:t>nnection</w:t>
      </w:r>
      <w:r w:rsidR="00E37E60" w:rsidRPr="00BB27A2">
        <w:rPr>
          <w:lang w:val="en-US"/>
        </w:rPr>
        <w:t>, in that case the utility knows which</w:t>
      </w:r>
      <w:r w:rsidR="00E37E60" w:rsidRPr="00BB27A2">
        <w:rPr>
          <w:i/>
          <w:lang w:val="en-US"/>
        </w:rPr>
        <w:t xml:space="preserve"> specific </w:t>
      </w:r>
      <w:r w:rsidR="00E37E60" w:rsidRPr="00BB27A2">
        <w:rPr>
          <w:lang w:val="en-US"/>
        </w:rPr>
        <w:t xml:space="preserve">device is used. </w:t>
      </w:r>
      <w:r w:rsidR="00E37E60">
        <w:rPr>
          <w:lang w:val="en-US"/>
        </w:rPr>
        <w:t>The registration may also expose when a device of a visitor is plugged in, e.g. electric vehicles that are recharged. When you are home and what you are doing in the privacy of your home is personal</w:t>
      </w:r>
      <w:r w:rsidR="00002BED">
        <w:rPr>
          <w:lang w:val="en-US"/>
        </w:rPr>
        <w:t>,</w:t>
      </w:r>
      <w:r w:rsidR="00E37E60">
        <w:rPr>
          <w:lang w:val="en-US"/>
        </w:rPr>
        <w:t xml:space="preserve"> intimate information. Moreover, it is doubtful whether indoors communication, e.g. between a person and his blender, will proof to be a valuable tool in the original aim of the DRD, i.e. the fight against (</w:t>
      </w:r>
      <w:proofErr w:type="spellStart"/>
      <w:r w:rsidR="00E37E60">
        <w:rPr>
          <w:lang w:val="en-US"/>
        </w:rPr>
        <w:t>organised</w:t>
      </w:r>
      <w:proofErr w:type="spellEnd"/>
      <w:r w:rsidR="00E37E60">
        <w:rPr>
          <w:lang w:val="en-US"/>
        </w:rPr>
        <w:t>) crime and terrorism.</w:t>
      </w:r>
    </w:p>
    <w:p w:rsidR="00E37E60" w:rsidRDefault="00E37E60" w:rsidP="00E37E60">
      <w:pPr>
        <w:pStyle w:val="EndnoteText"/>
        <w:rPr>
          <w:sz w:val="22"/>
          <w:szCs w:val="22"/>
        </w:rPr>
      </w:pPr>
    </w:p>
    <w:p w:rsidR="00AF590B" w:rsidRDefault="002320AF">
      <w:pPr>
        <w:pStyle w:val="Heading2"/>
        <w:numPr>
          <w:ilvl w:val="0"/>
          <w:numId w:val="13"/>
        </w:numPr>
        <w:rPr>
          <w:rFonts w:eastAsia="SimSun"/>
          <w:lang w:eastAsia="zh-CN"/>
        </w:rPr>
      </w:pPr>
      <w:bookmarkStart w:id="25" w:name="_Toc342048316"/>
      <w:bookmarkStart w:id="26" w:name="_Toc346967731"/>
      <w:bookmarkStart w:id="27" w:name="_Toc347068607"/>
      <w:bookmarkStart w:id="28" w:name="_Toc347145362"/>
      <w:r>
        <w:rPr>
          <w:rFonts w:eastAsia="SimSun"/>
          <w:lang w:eastAsia="zh-CN"/>
        </w:rPr>
        <w:t>Concluding remarks</w:t>
      </w:r>
      <w:bookmarkEnd w:id="25"/>
      <w:bookmarkEnd w:id="26"/>
      <w:bookmarkEnd w:id="27"/>
      <w:bookmarkEnd w:id="28"/>
    </w:p>
    <w:p w:rsidR="00F702DD" w:rsidRPr="009F0023" w:rsidRDefault="00F702DD" w:rsidP="00A8000E">
      <w:pPr>
        <w:autoSpaceDE w:val="0"/>
        <w:autoSpaceDN w:val="0"/>
        <w:adjustRightInd w:val="0"/>
        <w:rPr>
          <w:lang w:val="en-US"/>
        </w:rPr>
      </w:pPr>
      <w:r w:rsidRPr="009F0023">
        <w:rPr>
          <w:lang w:val="en-US"/>
        </w:rPr>
        <w:t xml:space="preserve">The question that remains is if the policy of the EU with regard to the </w:t>
      </w:r>
      <w:proofErr w:type="spellStart"/>
      <w:r w:rsidRPr="009F0023">
        <w:rPr>
          <w:lang w:val="en-US"/>
        </w:rPr>
        <w:t>IoT</w:t>
      </w:r>
      <w:proofErr w:type="spellEnd"/>
      <w:r w:rsidRPr="009F0023">
        <w:rPr>
          <w:lang w:val="en-US"/>
        </w:rPr>
        <w:t xml:space="preserve"> amounts to a purpose creep by design that conflicts with privacy </w:t>
      </w:r>
      <w:r w:rsidR="00CC5CE8">
        <w:rPr>
          <w:lang w:val="en-US"/>
        </w:rPr>
        <w:t xml:space="preserve">as </w:t>
      </w:r>
      <w:r w:rsidRPr="009F0023">
        <w:rPr>
          <w:lang w:val="en-US"/>
        </w:rPr>
        <w:t xml:space="preserve">protected by Article 8 </w:t>
      </w:r>
      <w:r w:rsidR="00F86EE8" w:rsidRPr="009F0023">
        <w:rPr>
          <w:lang w:val="en-US"/>
        </w:rPr>
        <w:t>ECHR? A</w:t>
      </w:r>
      <w:r w:rsidR="00CC5CE8">
        <w:rPr>
          <w:lang w:val="en-US"/>
        </w:rPr>
        <w:t>n</w:t>
      </w:r>
      <w:r w:rsidR="00F86EE8" w:rsidRPr="009F0023">
        <w:rPr>
          <w:lang w:val="en-US"/>
        </w:rPr>
        <w:t xml:space="preserve"> </w:t>
      </w:r>
      <w:r w:rsidR="00CC5CE8">
        <w:rPr>
          <w:lang w:val="en-US"/>
        </w:rPr>
        <w:t xml:space="preserve">affirmative </w:t>
      </w:r>
      <w:r w:rsidR="00F86EE8" w:rsidRPr="009F0023">
        <w:rPr>
          <w:lang w:val="en-US"/>
        </w:rPr>
        <w:t xml:space="preserve">answer </w:t>
      </w:r>
      <w:r w:rsidR="00CC5CE8">
        <w:rPr>
          <w:lang w:val="en-US"/>
        </w:rPr>
        <w:t xml:space="preserve">implies an accusation of </w:t>
      </w:r>
      <w:r w:rsidRPr="009F0023">
        <w:rPr>
          <w:lang w:val="en-US"/>
        </w:rPr>
        <w:t>the responsible bodies of the EU</w:t>
      </w:r>
      <w:r w:rsidR="00CC5CE8">
        <w:rPr>
          <w:lang w:val="en-US"/>
        </w:rPr>
        <w:t>, viz.</w:t>
      </w:r>
      <w:r w:rsidRPr="009F0023">
        <w:rPr>
          <w:lang w:val="en-US"/>
        </w:rPr>
        <w:t xml:space="preserve"> that they are willingly setting up an infrastructure that aims at an omnipresent surveillance regime. Answering with a simple yes or no is attractive, but the area discussed in this paper is rather grey. The communications from the Commission as well as the EP show their flaws, but privacy does always come back as an important point that should be taken care of.</w:t>
      </w:r>
      <w:r w:rsidR="00F86EE8" w:rsidRPr="009F0023">
        <w:rPr>
          <w:lang w:val="en-US"/>
        </w:rPr>
        <w:t xml:space="preserve"> Although the intent is missing, the effect – purpose creep by design – </w:t>
      </w:r>
      <w:r w:rsidR="00CC5CE8">
        <w:rPr>
          <w:lang w:val="en-US"/>
        </w:rPr>
        <w:t xml:space="preserve">can </w:t>
      </w:r>
      <w:r w:rsidR="00F86EE8" w:rsidRPr="009F0023">
        <w:rPr>
          <w:lang w:val="en-US"/>
        </w:rPr>
        <w:t>still arise.</w:t>
      </w:r>
    </w:p>
    <w:p w:rsidR="00010E3D" w:rsidRPr="009F0023" w:rsidRDefault="00F86EE8" w:rsidP="00010E3D">
      <w:pPr>
        <w:autoSpaceDE w:val="0"/>
        <w:autoSpaceDN w:val="0"/>
        <w:adjustRightInd w:val="0"/>
        <w:rPr>
          <w:i/>
          <w:lang w:val="en-US"/>
        </w:rPr>
      </w:pPr>
      <w:r w:rsidRPr="009F0023">
        <w:rPr>
          <w:lang w:val="en-US"/>
        </w:rPr>
        <w:t>The</w:t>
      </w:r>
      <w:r w:rsidR="00F702DD" w:rsidRPr="009F0023">
        <w:rPr>
          <w:lang w:val="en-US"/>
        </w:rPr>
        <w:t xml:space="preserve"> current approach that the Commission takes to privacy seems to be misguided by the idea that privacy can be sufficiently safeguarded through data protection. However, when data </w:t>
      </w:r>
      <w:r w:rsidR="00CC5CE8">
        <w:rPr>
          <w:lang w:val="en-US"/>
        </w:rPr>
        <w:t xml:space="preserve">leave </w:t>
      </w:r>
      <w:r w:rsidR="00F702DD" w:rsidRPr="009F0023">
        <w:rPr>
          <w:lang w:val="en-US"/>
        </w:rPr>
        <w:t xml:space="preserve">the exclusive control of the individual, this data might be protected according to the law, </w:t>
      </w:r>
      <w:r w:rsidR="00DF6A81">
        <w:rPr>
          <w:lang w:val="en-US"/>
        </w:rPr>
        <w:t xml:space="preserve">but </w:t>
      </w:r>
      <w:r w:rsidR="00F702DD" w:rsidRPr="009F0023">
        <w:rPr>
          <w:lang w:val="en-US"/>
        </w:rPr>
        <w:t xml:space="preserve">still there will be a breach of privacy. Data protection is fundamentally different </w:t>
      </w:r>
      <w:r w:rsidR="00DF6A81">
        <w:rPr>
          <w:lang w:val="en-US"/>
        </w:rPr>
        <w:t xml:space="preserve">from </w:t>
      </w:r>
      <w:r w:rsidR="00010E3D" w:rsidRPr="009F0023">
        <w:rPr>
          <w:lang w:val="en-US"/>
        </w:rPr>
        <w:t>privacy and is not suitable to replace this right that is deemed essential in modern day society. The fact that the Commission on the one hand stimulates the development and implementation of technology throug</w:t>
      </w:r>
      <w:r w:rsidR="00F15F77">
        <w:rPr>
          <w:lang w:val="en-US"/>
        </w:rPr>
        <w:t>h a number of funding programs</w:t>
      </w:r>
      <w:r w:rsidR="00010E3D" w:rsidRPr="009F0023">
        <w:rPr>
          <w:lang w:val="en-US"/>
        </w:rPr>
        <w:t xml:space="preserve">, but is not actively formulating adequate policy with regard to privacy, leaves an unbalanced impression. It is surprising how few hackles are raised when a vision, that is based on this corporate incentive, is adopted as public policy and is heavily </w:t>
      </w:r>
      <w:r w:rsidR="001F6DCF">
        <w:rPr>
          <w:lang w:val="en-US"/>
        </w:rPr>
        <w:t>funded</w:t>
      </w:r>
      <w:r w:rsidR="001F6DCF" w:rsidRPr="009F0023">
        <w:rPr>
          <w:lang w:val="en-US"/>
        </w:rPr>
        <w:t xml:space="preserve"> </w:t>
      </w:r>
      <w:r w:rsidR="00010F56">
        <w:rPr>
          <w:lang w:val="en-US"/>
        </w:rPr>
        <w:t>with</w:t>
      </w:r>
      <w:r w:rsidR="00010F56" w:rsidRPr="009F0023">
        <w:rPr>
          <w:lang w:val="en-US"/>
        </w:rPr>
        <w:t xml:space="preserve"> </w:t>
      </w:r>
      <w:r w:rsidR="00010E3D" w:rsidRPr="009F0023">
        <w:rPr>
          <w:lang w:val="en-US"/>
        </w:rPr>
        <w:t xml:space="preserve">public </w:t>
      </w:r>
      <w:r w:rsidR="001F6DCF">
        <w:rPr>
          <w:lang w:val="en-US"/>
        </w:rPr>
        <w:t>money</w:t>
      </w:r>
      <w:r w:rsidR="00010E3D" w:rsidRPr="009F0023">
        <w:rPr>
          <w:lang w:val="en-US"/>
        </w:rPr>
        <w:t xml:space="preserve">—especially when these corporate interests are realized through the implementation of a structure that </w:t>
      </w:r>
      <w:r w:rsidR="001F6DCF">
        <w:rPr>
          <w:lang w:val="en-US"/>
        </w:rPr>
        <w:t>has</w:t>
      </w:r>
      <w:r w:rsidR="00010E3D" w:rsidRPr="009F0023">
        <w:rPr>
          <w:lang w:val="en-US"/>
        </w:rPr>
        <w:t xml:space="preserve"> a negative impact on privacy and personal freedom, values</w:t>
      </w:r>
      <w:r w:rsidR="00F86A32">
        <w:rPr>
          <w:lang w:val="en-US"/>
        </w:rPr>
        <w:t xml:space="preserve"> </w:t>
      </w:r>
      <w:r w:rsidR="00010E3D" w:rsidRPr="009F0023">
        <w:rPr>
          <w:lang w:val="en-US"/>
        </w:rPr>
        <w:t xml:space="preserve">that are deemed indispensable in a constitutional democracy. What makes this development even more questionable is the fact that what causes this negative impact, the registration of personal data, </w:t>
      </w:r>
      <w:r w:rsidR="001F6DCF">
        <w:rPr>
          <w:lang w:val="en-US"/>
        </w:rPr>
        <w:t>is</w:t>
      </w:r>
      <w:r w:rsidR="00010E3D" w:rsidRPr="009F0023">
        <w:rPr>
          <w:lang w:val="en-US"/>
        </w:rPr>
        <w:t xml:space="preserve"> beneficial for </w:t>
      </w:r>
      <w:r w:rsidR="001F6DCF">
        <w:rPr>
          <w:lang w:val="en-US"/>
        </w:rPr>
        <w:t>industry as well as government.</w:t>
      </w:r>
    </w:p>
    <w:p w:rsidR="00010E3D" w:rsidRDefault="00F86EE8" w:rsidP="00010E3D">
      <w:pPr>
        <w:pStyle w:val="EndnoteText"/>
        <w:rPr>
          <w:sz w:val="22"/>
          <w:szCs w:val="22"/>
        </w:rPr>
      </w:pPr>
      <w:r>
        <w:rPr>
          <w:sz w:val="22"/>
          <w:szCs w:val="22"/>
        </w:rPr>
        <w:t>D</w:t>
      </w:r>
      <w:r w:rsidR="00010E3D" w:rsidRPr="00010E3D">
        <w:rPr>
          <w:sz w:val="22"/>
          <w:szCs w:val="22"/>
        </w:rPr>
        <w:t>igitalizing people their enviro</w:t>
      </w:r>
      <w:r>
        <w:rPr>
          <w:sz w:val="22"/>
          <w:szCs w:val="22"/>
        </w:rPr>
        <w:t>nment in a way that you silently increase</w:t>
      </w:r>
      <w:r w:rsidR="00010E3D" w:rsidRPr="00010E3D">
        <w:rPr>
          <w:sz w:val="22"/>
          <w:szCs w:val="22"/>
        </w:rPr>
        <w:t xml:space="preserve"> the digit</w:t>
      </w:r>
      <w:r>
        <w:rPr>
          <w:sz w:val="22"/>
          <w:szCs w:val="22"/>
        </w:rPr>
        <w:t xml:space="preserve">al footprints they leave behind, </w:t>
      </w:r>
      <w:r w:rsidR="00010E3D" w:rsidRPr="00010E3D">
        <w:rPr>
          <w:sz w:val="22"/>
          <w:szCs w:val="22"/>
        </w:rPr>
        <w:t>together with the legislation on data retention, creates a</w:t>
      </w:r>
      <w:r w:rsidR="00F86A32">
        <w:t xml:space="preserve"> </w:t>
      </w:r>
      <w:r w:rsidR="00010E3D">
        <w:rPr>
          <w:sz w:val="22"/>
          <w:szCs w:val="22"/>
          <w:lang w:eastAsia="zh-CN"/>
        </w:rPr>
        <w:t xml:space="preserve">vast web of surveillance points in society. </w:t>
      </w:r>
      <w:r w:rsidR="00464FC0">
        <w:rPr>
          <w:sz w:val="22"/>
          <w:szCs w:val="22"/>
          <w:lang w:eastAsia="zh-CN"/>
        </w:rPr>
        <w:t xml:space="preserve">This process should not be discarded by politicians under the flag of technological determinism, it is </w:t>
      </w:r>
      <w:r w:rsidR="00010E3D">
        <w:rPr>
          <w:sz w:val="22"/>
          <w:szCs w:val="22"/>
        </w:rPr>
        <w:t>a political choice</w:t>
      </w:r>
      <w:r w:rsidR="00010F56">
        <w:rPr>
          <w:sz w:val="22"/>
          <w:szCs w:val="22"/>
        </w:rPr>
        <w:t xml:space="preserve"> and therefore they should take their responsibility</w:t>
      </w:r>
      <w:r w:rsidR="00010E3D">
        <w:rPr>
          <w:sz w:val="22"/>
          <w:szCs w:val="22"/>
        </w:rPr>
        <w:t xml:space="preserve">. The process that guides </w:t>
      </w:r>
      <w:r w:rsidR="00010F56">
        <w:rPr>
          <w:sz w:val="22"/>
          <w:szCs w:val="22"/>
        </w:rPr>
        <w:t xml:space="preserve">the </w:t>
      </w:r>
      <w:proofErr w:type="spellStart"/>
      <w:r w:rsidR="00010F56">
        <w:rPr>
          <w:sz w:val="22"/>
          <w:szCs w:val="22"/>
        </w:rPr>
        <w:t>IoT</w:t>
      </w:r>
      <w:proofErr w:type="spellEnd"/>
      <w:r w:rsidR="00010F56">
        <w:rPr>
          <w:sz w:val="22"/>
          <w:szCs w:val="22"/>
        </w:rPr>
        <w:t xml:space="preserve"> </w:t>
      </w:r>
      <w:r w:rsidR="00010E3D">
        <w:rPr>
          <w:sz w:val="22"/>
          <w:szCs w:val="22"/>
        </w:rPr>
        <w:t xml:space="preserve">is devoid of any form of democratic legitimacy. It is a cooperation between government and industry that is taking place outside of the public arena which, inevitably, will have a </w:t>
      </w:r>
      <w:r w:rsidR="00010E3D">
        <w:rPr>
          <w:sz w:val="22"/>
          <w:szCs w:val="22"/>
        </w:rPr>
        <w:lastRenderedPageBreak/>
        <w:t xml:space="preserve">great impact on citizenship in our society. The principles that guide this process are corporate in nature and do not have anything to do with democratic values. By the time the individual experiences the impact of this grotesque project, it might be tied down by a web of digital strings, each by itself not a great threat to personal freedom, but the accumulation of which is strong enough to keep </w:t>
      </w:r>
      <w:r w:rsidR="00010F56">
        <w:rPr>
          <w:sz w:val="22"/>
          <w:szCs w:val="22"/>
        </w:rPr>
        <w:t>him</w:t>
      </w:r>
      <w:r w:rsidR="00010E3D">
        <w:rPr>
          <w:sz w:val="22"/>
          <w:szCs w:val="22"/>
        </w:rPr>
        <w:t xml:space="preserve"> bound tight to the digital ground.</w:t>
      </w:r>
      <w:r w:rsidR="00C51996" w:rsidRPr="00010E3D">
        <w:rPr>
          <w:rStyle w:val="FootnoteReference"/>
          <w:sz w:val="22"/>
          <w:szCs w:val="22"/>
        </w:rPr>
        <w:footnoteReference w:id="88"/>
      </w:r>
    </w:p>
    <w:p w:rsidR="00F702DD" w:rsidRPr="009F0023" w:rsidRDefault="00F702DD" w:rsidP="00A8000E">
      <w:pPr>
        <w:autoSpaceDE w:val="0"/>
        <w:autoSpaceDN w:val="0"/>
        <w:adjustRightInd w:val="0"/>
        <w:rPr>
          <w:lang w:val="en-US"/>
        </w:rPr>
      </w:pPr>
    </w:p>
    <w:p w:rsidR="00D156B3" w:rsidRDefault="00D156B3" w:rsidP="00203B8E">
      <w:pPr>
        <w:pStyle w:val="EndnoteText"/>
        <w:rPr>
          <w:sz w:val="22"/>
          <w:szCs w:val="22"/>
        </w:rPr>
      </w:pPr>
    </w:p>
    <w:p w:rsidR="006F7701" w:rsidRPr="009F0023" w:rsidRDefault="006F7701" w:rsidP="00203B8E">
      <w:pPr>
        <w:pStyle w:val="EndnoteText"/>
        <w:rPr>
          <w:sz w:val="22"/>
          <w:szCs w:val="22"/>
        </w:rPr>
      </w:pPr>
    </w:p>
    <w:p w:rsidR="00EA576D" w:rsidRPr="002B03EC" w:rsidRDefault="00EA576D" w:rsidP="00203B8E">
      <w:pPr>
        <w:pStyle w:val="EndnoteText"/>
        <w:rPr>
          <w:sz w:val="22"/>
          <w:szCs w:val="22"/>
        </w:rPr>
      </w:pPr>
    </w:p>
    <w:sectPr w:rsidR="00EA576D" w:rsidRPr="002B03EC" w:rsidSect="008B65B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08D" w:rsidRDefault="0081308D" w:rsidP="00667C50">
      <w:pPr>
        <w:spacing w:after="0" w:line="240" w:lineRule="auto"/>
      </w:pPr>
      <w:r>
        <w:separator/>
      </w:r>
    </w:p>
  </w:endnote>
  <w:endnote w:type="continuationSeparator" w:id="0">
    <w:p w:rsidR="0081308D" w:rsidRDefault="0081308D" w:rsidP="00667C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TE24EB478t00">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BookAntiqua-BoldItalic">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08D" w:rsidRDefault="0081308D" w:rsidP="00667C50">
      <w:pPr>
        <w:spacing w:after="0" w:line="240" w:lineRule="auto"/>
      </w:pPr>
      <w:r>
        <w:separator/>
      </w:r>
    </w:p>
  </w:footnote>
  <w:footnote w:type="continuationSeparator" w:id="0">
    <w:p w:rsidR="0081308D" w:rsidRDefault="0081308D" w:rsidP="00667C50">
      <w:pPr>
        <w:spacing w:after="0" w:line="240" w:lineRule="auto"/>
      </w:pPr>
      <w:r>
        <w:continuationSeparator/>
      </w:r>
    </w:p>
  </w:footnote>
  <w:footnote w:id="1">
    <w:p w:rsidR="0081308D" w:rsidRDefault="0081308D">
      <w:pPr>
        <w:pStyle w:val="FootnoteText"/>
      </w:pPr>
      <w:r>
        <w:rPr>
          <w:rStyle w:val="FootnoteReference"/>
        </w:rPr>
        <w:footnoteRef/>
      </w:r>
      <w:r>
        <w:t xml:space="preserve"> Tijmen Wisman is a Ph. D. student at the VU Amsterdam, Faculty of Law.</w:t>
      </w:r>
    </w:p>
  </w:footnote>
  <w:footnote w:id="2">
    <w:p w:rsidR="0081308D" w:rsidRPr="00691138" w:rsidRDefault="0081308D" w:rsidP="005147C5">
      <w:pPr>
        <w:autoSpaceDE w:val="0"/>
        <w:autoSpaceDN w:val="0"/>
        <w:adjustRightInd w:val="0"/>
        <w:spacing w:after="0" w:line="240" w:lineRule="auto"/>
        <w:rPr>
          <w:rFonts w:cs="TTE24EB478t00"/>
          <w:color w:val="000000"/>
          <w:sz w:val="20"/>
          <w:szCs w:val="20"/>
          <w:lang w:val="en-US" w:eastAsia="nl-NL"/>
        </w:rPr>
      </w:pPr>
      <w:r>
        <w:rPr>
          <w:rStyle w:val="FootnoteReference"/>
        </w:rPr>
        <w:footnoteRef/>
      </w:r>
      <w:r w:rsidRPr="00691138">
        <w:rPr>
          <w:lang w:val="en-US"/>
        </w:rPr>
        <w:t xml:space="preserve"> </w:t>
      </w:r>
      <w:r w:rsidRPr="00691138">
        <w:rPr>
          <w:rFonts w:cs="TTE24EB478t00"/>
          <w:color w:val="000000"/>
          <w:sz w:val="20"/>
          <w:szCs w:val="20"/>
          <w:lang w:val="en-US" w:eastAsia="nl-NL"/>
        </w:rPr>
        <w:t>‘Internet of Things – An action plan for Europe’, p. 2 (</w:t>
      </w:r>
      <w:smartTag w:uri="urn:schemas-microsoft-com:office:smarttags" w:element="City">
        <w:smartTag w:uri="urn:schemas-microsoft-com:office:smarttags" w:element="place">
          <w:r w:rsidRPr="00691138">
            <w:rPr>
              <w:rFonts w:cs="TTE24EB478t00"/>
              <w:color w:val="000000"/>
              <w:sz w:val="20"/>
              <w:szCs w:val="20"/>
              <w:lang w:val="en-US" w:eastAsia="nl-NL"/>
            </w:rPr>
            <w:t>Brussels</w:t>
          </w:r>
        </w:smartTag>
      </w:smartTag>
      <w:r w:rsidRPr="00691138">
        <w:rPr>
          <w:rFonts w:cs="TTE24EB478t00"/>
          <w:color w:val="000000"/>
          <w:sz w:val="20"/>
          <w:szCs w:val="20"/>
          <w:lang w:val="en-US" w:eastAsia="nl-NL"/>
        </w:rPr>
        <w:t>: Communication from the Commission to the</w:t>
      </w:r>
    </w:p>
    <w:p w:rsidR="0081308D" w:rsidRPr="00691138" w:rsidRDefault="0081308D" w:rsidP="005147C5">
      <w:pPr>
        <w:autoSpaceDE w:val="0"/>
        <w:autoSpaceDN w:val="0"/>
        <w:adjustRightInd w:val="0"/>
        <w:spacing w:after="0" w:line="240" w:lineRule="auto"/>
        <w:rPr>
          <w:rFonts w:ascii="TTE24EB478t00" w:hAnsi="TTE24EB478t00" w:cs="TTE24EB478t00"/>
          <w:color w:val="000000"/>
          <w:sz w:val="20"/>
          <w:szCs w:val="20"/>
          <w:lang w:val="en-US" w:eastAsia="nl-NL"/>
        </w:rPr>
      </w:pPr>
      <w:r w:rsidRPr="00691138">
        <w:rPr>
          <w:rFonts w:cs="TTE24EB478t00"/>
          <w:color w:val="000000"/>
          <w:sz w:val="20"/>
          <w:szCs w:val="20"/>
          <w:lang w:val="en-US" w:eastAsia="nl-NL"/>
        </w:rPr>
        <w:t xml:space="preserve">European Parliament, the Council, the European Economic and Social Committee and the Committee of </w:t>
      </w:r>
      <w:proofErr w:type="spellStart"/>
      <w:r w:rsidRPr="00691138">
        <w:rPr>
          <w:rFonts w:cs="TTE24EB478t00"/>
          <w:color w:val="000000"/>
          <w:sz w:val="20"/>
          <w:szCs w:val="20"/>
          <w:lang w:val="en-US" w:eastAsia="nl-NL"/>
        </w:rPr>
        <w:t>theRegions</w:t>
      </w:r>
      <w:proofErr w:type="spellEnd"/>
      <w:r w:rsidRPr="00691138">
        <w:rPr>
          <w:rFonts w:cs="TTE24EB478t00"/>
          <w:color w:val="000000"/>
          <w:sz w:val="20"/>
          <w:szCs w:val="20"/>
          <w:lang w:val="en-US" w:eastAsia="nl-NL"/>
        </w:rPr>
        <w:t xml:space="preserve">, 2009) </w:t>
      </w:r>
      <w:r w:rsidRPr="00691138">
        <w:rPr>
          <w:rFonts w:cs="TTE24EB478t00"/>
          <w:color w:val="0000FF"/>
          <w:sz w:val="20"/>
          <w:szCs w:val="20"/>
          <w:lang w:val="en-US" w:eastAsia="nl-NL"/>
        </w:rPr>
        <w:t>http://ec.europa.eu/information_society/policy/rfid/documents/commiot2009.pdf</w:t>
      </w:r>
      <w:r w:rsidRPr="00691138">
        <w:rPr>
          <w:rFonts w:cs="TTE24EB478t00"/>
          <w:color w:val="000000"/>
          <w:sz w:val="20"/>
          <w:szCs w:val="20"/>
          <w:lang w:val="en-US" w:eastAsia="nl-NL"/>
        </w:rPr>
        <w:t>, last seen December 1</w:t>
      </w:r>
      <w:r w:rsidRPr="00691138">
        <w:rPr>
          <w:rFonts w:cs="TTE24EB478t00"/>
          <w:color w:val="000000"/>
          <w:sz w:val="20"/>
          <w:szCs w:val="20"/>
          <w:vertAlign w:val="superscript"/>
          <w:lang w:val="en-US" w:eastAsia="nl-NL"/>
        </w:rPr>
        <w:t>th</w:t>
      </w:r>
      <w:r w:rsidRPr="00691138">
        <w:rPr>
          <w:rFonts w:cs="TTE24EB478t00"/>
          <w:color w:val="000000"/>
          <w:sz w:val="20"/>
          <w:szCs w:val="20"/>
          <w:lang w:val="en-US" w:eastAsia="nl-NL"/>
        </w:rPr>
        <w:t>, 2011.</w:t>
      </w:r>
    </w:p>
  </w:footnote>
  <w:footnote w:id="3">
    <w:p w:rsidR="0081308D" w:rsidRPr="00D86BBC" w:rsidRDefault="0081308D" w:rsidP="005147C5">
      <w:pPr>
        <w:pStyle w:val="FootnoteText"/>
      </w:pPr>
      <w:r>
        <w:rPr>
          <w:rStyle w:val="FootnoteReference"/>
        </w:rPr>
        <w:footnoteRef/>
      </w:r>
      <w:r>
        <w:t xml:space="preserve"> The 2nd Annual Conference Internet of Things Europe 2010 Conference Report, A Roadmap for Europe, Held on 1</w:t>
      </w:r>
      <w:r w:rsidRPr="00D86BBC">
        <w:rPr>
          <w:vertAlign w:val="superscript"/>
        </w:rPr>
        <w:t>st</w:t>
      </w:r>
      <w:r>
        <w:t xml:space="preserve"> and 2</w:t>
      </w:r>
      <w:r w:rsidRPr="00D86BBC">
        <w:rPr>
          <w:vertAlign w:val="superscript"/>
        </w:rPr>
        <w:t>nd</w:t>
      </w:r>
      <w:r>
        <w:t xml:space="preserve"> of June 2010, Brussels, p. 2.</w:t>
      </w:r>
    </w:p>
  </w:footnote>
  <w:footnote w:id="4">
    <w:p w:rsidR="0081308D" w:rsidRPr="00691138" w:rsidRDefault="0081308D" w:rsidP="005147C5">
      <w:pPr>
        <w:autoSpaceDE w:val="0"/>
        <w:autoSpaceDN w:val="0"/>
        <w:adjustRightInd w:val="0"/>
        <w:spacing w:after="0" w:line="240" w:lineRule="auto"/>
        <w:rPr>
          <w:rFonts w:ascii="TTE24EB478t00" w:hAnsi="TTE24EB478t00" w:cs="TTE24EB478t00"/>
          <w:color w:val="000000"/>
          <w:sz w:val="20"/>
          <w:szCs w:val="20"/>
          <w:lang w:val="en-US" w:eastAsia="nl-NL"/>
        </w:rPr>
      </w:pPr>
      <w:r>
        <w:rPr>
          <w:rStyle w:val="FootnoteReference"/>
        </w:rPr>
        <w:footnoteRef/>
      </w:r>
      <w:r w:rsidRPr="00691138">
        <w:rPr>
          <w:lang w:val="en-US"/>
        </w:rPr>
        <w:t xml:space="preserve"> </w:t>
      </w:r>
      <w:r w:rsidRPr="00691138">
        <w:rPr>
          <w:rFonts w:cs="TTE24EB478t00"/>
          <w:color w:val="000000"/>
          <w:sz w:val="20"/>
          <w:szCs w:val="20"/>
          <w:lang w:val="en-US" w:eastAsia="nl-NL"/>
        </w:rPr>
        <w:t>‘Internet of Things – An action plan for Europe’, p. 4 (Brussels: Communication from the Commission to the</w:t>
      </w:r>
      <w:r w:rsidRPr="00887D45">
        <w:rPr>
          <w:rFonts w:cs="TTE24EB478t00"/>
          <w:color w:val="000000"/>
          <w:sz w:val="20"/>
          <w:szCs w:val="20"/>
          <w:lang w:val="en-US" w:eastAsia="nl-NL"/>
        </w:rPr>
        <w:t xml:space="preserve"> </w:t>
      </w:r>
      <w:r w:rsidRPr="00691138">
        <w:rPr>
          <w:rFonts w:cs="TTE24EB478t00"/>
          <w:color w:val="000000"/>
          <w:sz w:val="20"/>
          <w:szCs w:val="20"/>
          <w:lang w:val="en-US" w:eastAsia="nl-NL"/>
        </w:rPr>
        <w:t xml:space="preserve">European Parliament, the Council, the European Economic and Social Committee and the Committee of </w:t>
      </w:r>
      <w:proofErr w:type="spellStart"/>
      <w:r w:rsidRPr="00691138">
        <w:rPr>
          <w:rFonts w:cs="TTE24EB478t00"/>
          <w:color w:val="000000"/>
          <w:sz w:val="20"/>
          <w:szCs w:val="20"/>
          <w:lang w:val="en-US" w:eastAsia="nl-NL"/>
        </w:rPr>
        <w:t>theRegions</w:t>
      </w:r>
      <w:proofErr w:type="spellEnd"/>
      <w:r w:rsidRPr="00691138">
        <w:rPr>
          <w:rFonts w:cs="TTE24EB478t00"/>
          <w:color w:val="000000"/>
          <w:sz w:val="20"/>
          <w:szCs w:val="20"/>
          <w:lang w:val="en-US" w:eastAsia="nl-NL"/>
        </w:rPr>
        <w:t xml:space="preserve">, 2009) </w:t>
      </w:r>
      <w:r w:rsidRPr="00691138">
        <w:rPr>
          <w:rFonts w:cs="TTE24EB478t00"/>
          <w:color w:val="0000FF"/>
          <w:sz w:val="20"/>
          <w:szCs w:val="20"/>
          <w:lang w:val="en-US" w:eastAsia="nl-NL"/>
        </w:rPr>
        <w:t>http://ec.europa.eu/information_society/policy/rfid/documents/commiot2009.pdf</w:t>
      </w:r>
      <w:r w:rsidRPr="00691138">
        <w:rPr>
          <w:rFonts w:cs="TTE24EB478t00"/>
          <w:color w:val="000000"/>
          <w:sz w:val="20"/>
          <w:szCs w:val="20"/>
          <w:lang w:val="en-US" w:eastAsia="nl-NL"/>
        </w:rPr>
        <w:t>, last seen December 1</w:t>
      </w:r>
      <w:r w:rsidRPr="00691138">
        <w:rPr>
          <w:rFonts w:cs="TTE24EB478t00"/>
          <w:color w:val="000000"/>
          <w:sz w:val="20"/>
          <w:szCs w:val="20"/>
          <w:vertAlign w:val="superscript"/>
          <w:lang w:val="en-US" w:eastAsia="nl-NL"/>
        </w:rPr>
        <w:t>th</w:t>
      </w:r>
      <w:r w:rsidRPr="00691138">
        <w:rPr>
          <w:rFonts w:cs="TTE24EB478t00"/>
          <w:color w:val="000000"/>
          <w:sz w:val="20"/>
          <w:szCs w:val="20"/>
          <w:lang w:val="en-US" w:eastAsia="nl-NL"/>
        </w:rPr>
        <w:t>, 2011.</w:t>
      </w:r>
    </w:p>
  </w:footnote>
  <w:footnote w:id="5">
    <w:p w:rsidR="0081308D" w:rsidRDefault="0081308D" w:rsidP="005147C5">
      <w:pPr>
        <w:pStyle w:val="FootnoteText"/>
      </w:pPr>
      <w:r>
        <w:rPr>
          <w:rStyle w:val="FootnoteReference"/>
        </w:rPr>
        <w:footnoteRef/>
      </w:r>
      <w:r>
        <w:t xml:space="preserve"> See </w:t>
      </w:r>
      <w:hyperlink r:id="rId1" w:history="1">
        <w:r w:rsidRPr="002238B8">
          <w:rPr>
            <w:rStyle w:val="Hyperlink"/>
          </w:rPr>
          <w:t>http://www.wired.com/beyond_the_beyond/2011/02/spime-watch-the-internet-of-things-a-window-to-our-future/</w:t>
        </w:r>
      </w:hyperlink>
      <w:r>
        <w:t>, last seen November 27</w:t>
      </w:r>
      <w:r>
        <w:rPr>
          <w:vertAlign w:val="superscript"/>
        </w:rPr>
        <w:t>th</w:t>
      </w:r>
      <w:r>
        <w:t>, 2012.</w:t>
      </w:r>
    </w:p>
  </w:footnote>
  <w:footnote w:id="6">
    <w:p w:rsidR="0081308D" w:rsidRDefault="0081308D" w:rsidP="005147C5">
      <w:pPr>
        <w:pStyle w:val="FootnoteText"/>
      </w:pPr>
      <w:r>
        <w:rPr>
          <w:rStyle w:val="FootnoteReference"/>
        </w:rPr>
        <w:footnoteRef/>
      </w:r>
      <w:r>
        <w:t xml:space="preserve"> </w:t>
      </w:r>
      <w:proofErr w:type="spellStart"/>
      <w:r>
        <w:t>Gérald</w:t>
      </w:r>
      <w:proofErr w:type="spellEnd"/>
      <w:r>
        <w:t xml:space="preserve"> </w:t>
      </w:r>
      <w:proofErr w:type="spellStart"/>
      <w:r>
        <w:t>Santucci</w:t>
      </w:r>
      <w:proofErr w:type="spellEnd"/>
      <w:r>
        <w:t xml:space="preserve"> is Head of Unit Internet of Things and Future Internet Enterprise Systems, European Commission, see </w:t>
      </w:r>
      <w:hyperlink r:id="rId2" w:history="1">
        <w:r w:rsidRPr="002238B8">
          <w:rPr>
            <w:rStyle w:val="Hyperlink"/>
          </w:rPr>
          <w:t>http://www.digitalarti.com/files/Digitalarti-5_UK-site-internet-MD.pdf</w:t>
        </w:r>
      </w:hyperlink>
      <w:r>
        <w:t>, last seen November 27</w:t>
      </w:r>
      <w:r>
        <w:rPr>
          <w:vertAlign w:val="superscript"/>
        </w:rPr>
        <w:t>th</w:t>
      </w:r>
      <w:r>
        <w:t xml:space="preserve">, 2012. </w:t>
      </w:r>
    </w:p>
  </w:footnote>
  <w:footnote w:id="7">
    <w:p w:rsidR="0081308D" w:rsidRPr="00C51996" w:rsidRDefault="0081308D" w:rsidP="00300F56">
      <w:pPr>
        <w:pStyle w:val="FootnoteText"/>
      </w:pPr>
      <w:r>
        <w:rPr>
          <w:rStyle w:val="FootnoteReference"/>
        </w:rPr>
        <w:footnoteRef/>
      </w:r>
      <w:r w:rsidRPr="00DF6FE0">
        <w:t xml:space="preserve"> </w:t>
      </w:r>
      <w:proofErr w:type="spellStart"/>
      <w:r w:rsidRPr="00DF6FE0">
        <w:t>Casagras</w:t>
      </w:r>
      <w:proofErr w:type="spellEnd"/>
      <w:r w:rsidRPr="00DF6FE0">
        <w:t xml:space="preserve"> Fi</w:t>
      </w:r>
      <w:r>
        <w:t xml:space="preserve">nal report page 10. See </w:t>
      </w:r>
      <w:hyperlink r:id="rId3" w:history="1">
        <w:r w:rsidRPr="00445A07">
          <w:rPr>
            <w:rStyle w:val="Hyperlink"/>
          </w:rPr>
          <w:t>http://bit.ly/XFaEXX</w:t>
        </w:r>
      </w:hyperlink>
      <w:r>
        <w:t>, last seen January 24</w:t>
      </w:r>
      <w:r>
        <w:rPr>
          <w:vertAlign w:val="superscript"/>
        </w:rPr>
        <w:t>th</w:t>
      </w:r>
      <w:r>
        <w:t>, 2013.</w:t>
      </w:r>
    </w:p>
  </w:footnote>
  <w:footnote w:id="8">
    <w:p w:rsidR="0081308D" w:rsidRDefault="0081308D" w:rsidP="009C03B0">
      <w:pPr>
        <w:pStyle w:val="FootnoteText"/>
      </w:pPr>
      <w:r>
        <w:rPr>
          <w:rStyle w:val="FootnoteReference"/>
        </w:rPr>
        <w:footnoteRef/>
      </w:r>
      <w:r>
        <w:t xml:space="preserve"> </w:t>
      </w:r>
      <w:r w:rsidRPr="00691138">
        <w:t>Communication from the Commission to the Council, the European Parliament, the European Economic an</w:t>
      </w:r>
      <w:r>
        <w:t>d</w:t>
      </w:r>
      <w:r w:rsidRPr="00691138">
        <w:t xml:space="preserve"> Social Committee and the Committee of the Regions, </w:t>
      </w:r>
      <w:r>
        <w:rPr>
          <w:i/>
        </w:rPr>
        <w:t>Radio Frequency Identification (RFID) in Europe: steps towards a policy framework</w:t>
      </w:r>
      <w:r w:rsidRPr="00691138">
        <w:t xml:space="preserve">, Brussels </w:t>
      </w:r>
      <w:r>
        <w:t>15.3.2007, COM (2007</w:t>
      </w:r>
      <w:r w:rsidRPr="00691138">
        <w:t xml:space="preserve">) </w:t>
      </w:r>
      <w:r>
        <w:t>96</w:t>
      </w:r>
      <w:r w:rsidRPr="00691138">
        <w:t xml:space="preserve"> final</w:t>
      </w:r>
      <w:r>
        <w:t>, p. 3.</w:t>
      </w:r>
    </w:p>
  </w:footnote>
  <w:footnote w:id="9">
    <w:p w:rsidR="0081308D" w:rsidRDefault="0081308D">
      <w:pPr>
        <w:pStyle w:val="FootnoteText"/>
      </w:pPr>
      <w:r>
        <w:rPr>
          <w:rStyle w:val="FootnoteReference"/>
        </w:rPr>
        <w:footnoteRef/>
      </w:r>
      <w:r>
        <w:t xml:space="preserve"> I would like to thank my promoter, A.R. Lodder, who came up with this term ‘purpose creep’ in a conversation we had. </w:t>
      </w:r>
    </w:p>
  </w:footnote>
  <w:footnote w:id="10">
    <w:p w:rsidR="0081308D" w:rsidRPr="00691138" w:rsidRDefault="0081308D" w:rsidP="009C6A43">
      <w:pPr>
        <w:pStyle w:val="FootnoteText"/>
      </w:pPr>
      <w:r>
        <w:rPr>
          <w:rStyle w:val="FootnoteReference"/>
        </w:rPr>
        <w:footnoteRef/>
      </w:r>
      <w:r>
        <w:t xml:space="preserve"> </w:t>
      </w:r>
      <w:r w:rsidRPr="009F0840">
        <w:t>European Parliament resolution of 15 June 2010 on the Internet of Things, paragraph E.</w:t>
      </w:r>
    </w:p>
  </w:footnote>
  <w:footnote w:id="11">
    <w:p w:rsidR="0081308D" w:rsidRPr="005923CF" w:rsidRDefault="0081308D">
      <w:pPr>
        <w:pStyle w:val="FootnoteText"/>
      </w:pPr>
      <w:r>
        <w:rPr>
          <w:rStyle w:val="FootnoteReference"/>
        </w:rPr>
        <w:footnoteRef/>
      </w:r>
      <w:r>
        <w:t xml:space="preserve"> See </w:t>
      </w:r>
      <w:hyperlink r:id="rId4" w:history="1">
        <w:r w:rsidRPr="00FD2F63">
          <w:rPr>
            <w:rStyle w:val="Hyperlink"/>
          </w:rPr>
          <w:t>http://bit.ly/TuwSis</w:t>
        </w:r>
      </w:hyperlink>
      <w:r>
        <w:t>, last seen November 29</w:t>
      </w:r>
      <w:r>
        <w:rPr>
          <w:vertAlign w:val="superscript"/>
        </w:rPr>
        <w:t>th</w:t>
      </w:r>
      <w:r>
        <w:t>, 2012.</w:t>
      </w:r>
    </w:p>
  </w:footnote>
  <w:footnote w:id="12">
    <w:p w:rsidR="0081308D" w:rsidRDefault="0081308D">
      <w:pPr>
        <w:pStyle w:val="FootnoteText"/>
      </w:pPr>
      <w:r>
        <w:rPr>
          <w:rStyle w:val="FootnoteReference"/>
        </w:rPr>
        <w:footnoteRef/>
      </w:r>
      <w:r>
        <w:t xml:space="preserve"> See </w:t>
      </w:r>
      <w:hyperlink r:id="rId5" w:history="1">
        <w:r w:rsidRPr="00FD2F63">
          <w:rPr>
            <w:rStyle w:val="Hyperlink"/>
          </w:rPr>
          <w:t>http://europa.eu/rapid/press-release_SPEECH-06-597_en.htm?locale=fr</w:t>
        </w:r>
      </w:hyperlink>
      <w:r>
        <w:t>, last seen November 27</w:t>
      </w:r>
      <w:r>
        <w:rPr>
          <w:vertAlign w:val="superscript"/>
        </w:rPr>
        <w:t>th</w:t>
      </w:r>
      <w:r>
        <w:t>, 2012.</w:t>
      </w:r>
    </w:p>
  </w:footnote>
  <w:footnote w:id="13">
    <w:p w:rsidR="0081308D" w:rsidRDefault="0081308D">
      <w:pPr>
        <w:pStyle w:val="FootnoteText"/>
      </w:pPr>
      <w:r>
        <w:rPr>
          <w:rStyle w:val="FootnoteReference"/>
        </w:rPr>
        <w:footnoteRef/>
      </w:r>
      <w:r>
        <w:t xml:space="preserve"> </w:t>
      </w:r>
      <w:r w:rsidRPr="00691138">
        <w:t>Communication from the Commission to the Council, the European Parliament, the European Economic an</w:t>
      </w:r>
      <w:r>
        <w:t>d</w:t>
      </w:r>
      <w:r w:rsidRPr="00691138">
        <w:t xml:space="preserve"> Social Committee and the Committee of the Regions, </w:t>
      </w:r>
      <w:r>
        <w:rPr>
          <w:i/>
        </w:rPr>
        <w:t>Radio Frequency Identification (RFID) in Europe: steps towards a policy framework</w:t>
      </w:r>
      <w:r w:rsidRPr="00691138">
        <w:t xml:space="preserve">, Brussels </w:t>
      </w:r>
      <w:r>
        <w:t>15.3.2007, COM (2007</w:t>
      </w:r>
      <w:r w:rsidRPr="00691138">
        <w:t xml:space="preserve">) </w:t>
      </w:r>
      <w:r>
        <w:t>96</w:t>
      </w:r>
      <w:r w:rsidRPr="00691138">
        <w:t xml:space="preserve"> final.</w:t>
      </w:r>
    </w:p>
  </w:footnote>
  <w:footnote w:id="14">
    <w:p w:rsidR="0081308D" w:rsidRPr="00CD18B3" w:rsidRDefault="0081308D" w:rsidP="004647BF">
      <w:pPr>
        <w:pStyle w:val="FootnoteText"/>
      </w:pPr>
      <w:r>
        <w:rPr>
          <w:rStyle w:val="FootnoteReference"/>
        </w:rPr>
        <w:footnoteRef/>
      </w:r>
      <w:r w:rsidRPr="00CD18B3">
        <w:t xml:space="preserve"> See, </w:t>
      </w:r>
      <w:hyperlink r:id="rId6" w:history="1">
        <w:r w:rsidRPr="00CD18B3">
          <w:rPr>
            <w:rStyle w:val="Hyperlink"/>
          </w:rPr>
          <w:t>http://www.rfidjournal.com/article/view/4986</w:t>
        </w:r>
      </w:hyperlink>
      <w:r w:rsidRPr="00CD18B3">
        <w:t>, last seen December 1</w:t>
      </w:r>
      <w:r w:rsidRPr="00CD18B3">
        <w:rPr>
          <w:vertAlign w:val="superscript"/>
        </w:rPr>
        <w:t>th</w:t>
      </w:r>
      <w:r w:rsidRPr="00CD18B3">
        <w:t>, 2011.</w:t>
      </w:r>
    </w:p>
  </w:footnote>
  <w:footnote w:id="15">
    <w:p w:rsidR="0081308D" w:rsidRDefault="0081308D">
      <w:pPr>
        <w:pStyle w:val="FootnoteText"/>
      </w:pPr>
      <w:r>
        <w:rPr>
          <w:rStyle w:val="FootnoteReference"/>
        </w:rPr>
        <w:footnoteRef/>
      </w:r>
      <w:r>
        <w:t xml:space="preserve"> For a more clear explanation on the way RFID works see </w:t>
      </w:r>
      <w:r w:rsidRPr="002A29F0">
        <w:t>http://www.scienceprog.com/how-does-rfid-tag-technology-works/</w:t>
      </w:r>
      <w:r>
        <w:t>, last seen November 29</w:t>
      </w:r>
      <w:r>
        <w:rPr>
          <w:vertAlign w:val="superscript"/>
        </w:rPr>
        <w:t>th</w:t>
      </w:r>
      <w:r>
        <w:t>, 2012.</w:t>
      </w:r>
    </w:p>
  </w:footnote>
  <w:footnote w:id="16">
    <w:p w:rsidR="0081308D" w:rsidRDefault="0081308D">
      <w:pPr>
        <w:pStyle w:val="FootnoteText"/>
      </w:pPr>
      <w:r>
        <w:rPr>
          <w:rStyle w:val="FootnoteReference"/>
        </w:rPr>
        <w:footnoteRef/>
      </w:r>
      <w:r>
        <w:t xml:space="preserve"> A</w:t>
      </w:r>
      <w:r w:rsidRPr="00514E76">
        <w:t xml:space="preserve"> non-profit organization leading the</w:t>
      </w:r>
      <w:r>
        <w:t xml:space="preserve"> development of industry-driven standards for the Electronic Product Code.</w:t>
      </w:r>
    </w:p>
  </w:footnote>
  <w:footnote w:id="17">
    <w:p w:rsidR="0081308D" w:rsidRPr="00950520" w:rsidRDefault="0081308D" w:rsidP="00950520">
      <w:pPr>
        <w:pStyle w:val="FootnoteText"/>
      </w:pPr>
      <w:r>
        <w:rPr>
          <w:rStyle w:val="FootnoteReference"/>
        </w:rPr>
        <w:footnoteRef/>
      </w:r>
      <w:r>
        <w:t xml:space="preserve"> See </w:t>
      </w:r>
      <w:hyperlink r:id="rId7" w:history="1">
        <w:r w:rsidRPr="00950520">
          <w:rPr>
            <w:rStyle w:val="Hyperlink"/>
          </w:rPr>
          <w:t>http://www.rfidjournal.com/article/articleprint/3940/-1/1/</w:t>
        </w:r>
      </w:hyperlink>
      <w:r>
        <w:t>, last seen January 10</w:t>
      </w:r>
      <w:r>
        <w:rPr>
          <w:vertAlign w:val="superscript"/>
        </w:rPr>
        <w:t>th</w:t>
      </w:r>
      <w:r>
        <w:t>, 2013</w:t>
      </w:r>
    </w:p>
  </w:footnote>
  <w:footnote w:id="18">
    <w:p w:rsidR="0081308D" w:rsidRDefault="0081308D">
      <w:pPr>
        <w:pStyle w:val="FootnoteText"/>
      </w:pPr>
      <w:r>
        <w:rPr>
          <w:rStyle w:val="FootnoteReference"/>
        </w:rPr>
        <w:footnoteRef/>
      </w:r>
      <w:r>
        <w:t xml:space="preserve"> European Parliament resolution of 15 June 2010 on the Internet of Things, consideration 16. </w:t>
      </w:r>
    </w:p>
  </w:footnote>
  <w:footnote w:id="19">
    <w:p w:rsidR="0081308D" w:rsidRPr="00B86F6E" w:rsidRDefault="0081308D" w:rsidP="003530A3">
      <w:pPr>
        <w:pStyle w:val="FootnoteText"/>
      </w:pPr>
      <w:r>
        <w:rPr>
          <w:rStyle w:val="FootnoteReference"/>
        </w:rPr>
        <w:footnoteRef/>
      </w:r>
      <w:r>
        <w:t xml:space="preserve"> </w:t>
      </w:r>
      <w:r w:rsidRPr="00B86F6E">
        <w:t xml:space="preserve">See </w:t>
      </w:r>
      <w:hyperlink r:id="rId8" w:history="1">
        <w:r w:rsidRPr="00B86F6E">
          <w:rPr>
            <w:rStyle w:val="Hyperlink"/>
          </w:rPr>
          <w:t>http://cordis.europa.eu/fp7/understand_en.html</w:t>
        </w:r>
      </w:hyperlink>
      <w:r w:rsidRPr="00B86F6E">
        <w:t>, last seen</w:t>
      </w:r>
      <w:r>
        <w:t xml:space="preserve"> January</w:t>
      </w:r>
      <w:r w:rsidRPr="00D778FE">
        <w:t xml:space="preserve"> 4</w:t>
      </w:r>
      <w:r w:rsidRPr="00D778FE">
        <w:rPr>
          <w:vertAlign w:val="superscript"/>
        </w:rPr>
        <w:t>th</w:t>
      </w:r>
      <w:r w:rsidRPr="00D778FE">
        <w:t>, 2011.</w:t>
      </w:r>
      <w:r w:rsidRPr="00B86F6E">
        <w:t xml:space="preserve"> </w:t>
      </w:r>
    </w:p>
  </w:footnote>
  <w:footnote w:id="20">
    <w:p w:rsidR="0081308D" w:rsidRDefault="0081308D" w:rsidP="003530A3">
      <w:pPr>
        <w:pStyle w:val="FootnoteText"/>
      </w:pPr>
      <w:r>
        <w:rPr>
          <w:rStyle w:val="FootnoteReference"/>
        </w:rPr>
        <w:footnoteRef/>
      </w:r>
      <w:r>
        <w:t xml:space="preserve"> See </w:t>
      </w:r>
      <w:hyperlink r:id="rId9" w:history="1">
        <w:r w:rsidRPr="008D038A">
          <w:rPr>
            <w:rStyle w:val="Hyperlink"/>
          </w:rPr>
          <w:t>http://www.intertradeireland.com/fp72012/Commissioners%20Speech.pdf</w:t>
        </w:r>
      </w:hyperlink>
      <w:r>
        <w:t xml:space="preserve">, </w:t>
      </w:r>
      <w:r w:rsidRPr="00B86F6E">
        <w:t>last seen</w:t>
      </w:r>
      <w:r>
        <w:t xml:space="preserve"> January</w:t>
      </w:r>
      <w:r w:rsidRPr="00D778FE">
        <w:t xml:space="preserve"> 4</w:t>
      </w:r>
      <w:r w:rsidRPr="00D778FE">
        <w:rPr>
          <w:vertAlign w:val="superscript"/>
        </w:rPr>
        <w:t>th</w:t>
      </w:r>
      <w:r w:rsidRPr="00D778FE">
        <w:t>, 201</w:t>
      </w:r>
      <w:r>
        <w:t>3.</w:t>
      </w:r>
    </w:p>
  </w:footnote>
  <w:footnote w:id="21">
    <w:p w:rsidR="0081308D" w:rsidRPr="00B86F6E" w:rsidRDefault="0081308D" w:rsidP="00D156B3">
      <w:pPr>
        <w:pStyle w:val="FootnoteText"/>
      </w:pPr>
      <w:r>
        <w:rPr>
          <w:rStyle w:val="FootnoteReference"/>
        </w:rPr>
        <w:footnoteRef/>
      </w:r>
      <w:r>
        <w:t xml:space="preserve"> </w:t>
      </w:r>
      <w:r w:rsidRPr="00B86F6E">
        <w:t>FP7 in Brief, How to get involved in the EU 7</w:t>
      </w:r>
      <w:r w:rsidRPr="00B86F6E">
        <w:rPr>
          <w:vertAlign w:val="superscript"/>
        </w:rPr>
        <w:t xml:space="preserve">th </w:t>
      </w:r>
      <w:r w:rsidRPr="00B86F6E">
        <w:t>Framework Programme for Research, European Communities 2007, p. 7.</w:t>
      </w:r>
    </w:p>
  </w:footnote>
  <w:footnote w:id="22">
    <w:p w:rsidR="0081308D" w:rsidRDefault="0081308D" w:rsidP="000E031C">
      <w:pPr>
        <w:pStyle w:val="FootnoteText"/>
      </w:pPr>
      <w:r>
        <w:rPr>
          <w:rStyle w:val="FootnoteReference"/>
        </w:rPr>
        <w:footnoteRef/>
      </w:r>
      <w:r>
        <w:t xml:space="preserve"> In the right column a ‘+’ is used whenever there is an extra domain. Aerospace and aviation is the only category I used twice, as this seems to be applicable to transport as well as space. The </w:t>
      </w:r>
      <w:r w:rsidRPr="00B86F6E">
        <w:t xml:space="preserve">Compare FP7 in Brief, p. 14 with CERP </w:t>
      </w:r>
      <w:r>
        <w:rPr>
          <w:i/>
        </w:rPr>
        <w:t xml:space="preserve">Visions and Challenges for </w:t>
      </w:r>
      <w:proofErr w:type="spellStart"/>
      <w:r>
        <w:rPr>
          <w:i/>
        </w:rPr>
        <w:t>Realising</w:t>
      </w:r>
      <w:proofErr w:type="spellEnd"/>
      <w:r>
        <w:rPr>
          <w:i/>
        </w:rPr>
        <w:t xml:space="preserve"> the Internet of Things, </w:t>
      </w:r>
      <w:r>
        <w:t>p. 41-42.</w:t>
      </w:r>
    </w:p>
  </w:footnote>
  <w:footnote w:id="23">
    <w:p w:rsidR="0081308D" w:rsidRDefault="0081308D">
      <w:pPr>
        <w:pStyle w:val="FootnoteText"/>
      </w:pPr>
      <w:r>
        <w:rPr>
          <w:rStyle w:val="FootnoteReference"/>
        </w:rPr>
        <w:footnoteRef/>
      </w:r>
      <w:r>
        <w:t xml:space="preserve"> This is a very wide category that can encompass a lot of domains. I limited myself to these three. </w:t>
      </w:r>
    </w:p>
  </w:footnote>
  <w:footnote w:id="24">
    <w:p w:rsidR="0081308D" w:rsidRDefault="0081308D" w:rsidP="005D5414">
      <w:pPr>
        <w:pStyle w:val="FootnoteText"/>
      </w:pPr>
      <w:r>
        <w:rPr>
          <w:rStyle w:val="FootnoteReference"/>
        </w:rPr>
        <w:footnoteRef/>
      </w:r>
      <w:r>
        <w:t xml:space="preserve"> See </w:t>
      </w:r>
      <w:hyperlink r:id="rId10" w:history="1">
        <w:r w:rsidRPr="008C319F">
          <w:rPr>
            <w:rStyle w:val="Hyperlink"/>
          </w:rPr>
          <w:t>http://cordis.europa.eu/fp7/transport/home_en.html</w:t>
        </w:r>
      </w:hyperlink>
      <w:r>
        <w:t>, last seen November 29</w:t>
      </w:r>
      <w:r>
        <w:rPr>
          <w:vertAlign w:val="superscript"/>
        </w:rPr>
        <w:t>th</w:t>
      </w:r>
      <w:r>
        <w:t>, 2012.</w:t>
      </w:r>
    </w:p>
  </w:footnote>
  <w:footnote w:id="25">
    <w:p w:rsidR="0081308D" w:rsidRPr="00691138" w:rsidRDefault="0081308D" w:rsidP="005D5414">
      <w:pPr>
        <w:pStyle w:val="FootnoteText"/>
      </w:pPr>
      <w:r>
        <w:rPr>
          <w:rStyle w:val="FootnoteReference"/>
        </w:rPr>
        <w:footnoteRef/>
      </w:r>
      <w:r>
        <w:t xml:space="preserve"> The Internet of Things: ITU Internet Reports 2005, p.12.</w:t>
      </w:r>
    </w:p>
  </w:footnote>
  <w:footnote w:id="26">
    <w:p w:rsidR="0081308D" w:rsidRPr="00691138" w:rsidRDefault="0081308D" w:rsidP="005D5414">
      <w:pPr>
        <w:pStyle w:val="FootnoteText"/>
      </w:pPr>
      <w:r>
        <w:rPr>
          <w:rStyle w:val="FootnoteReference"/>
        </w:rPr>
        <w:footnoteRef/>
      </w:r>
      <w:r>
        <w:t xml:space="preserve"> See </w:t>
      </w:r>
      <w:hyperlink r:id="rId11" w:anchor="more-753" w:history="1">
        <w:r w:rsidRPr="00411EA2">
          <w:rPr>
            <w:rStyle w:val="Hyperlink"/>
          </w:rPr>
          <w:t>http://blogs.ec.europa.eu/neelie-kroes/ecall-using-ict-to-save-lives/#more-753</w:t>
        </w:r>
      </w:hyperlink>
      <w:r>
        <w:t>, last seen January 10</w:t>
      </w:r>
      <w:r>
        <w:rPr>
          <w:vertAlign w:val="superscript"/>
        </w:rPr>
        <w:t>th</w:t>
      </w:r>
      <w:r>
        <w:t>, 2012.</w:t>
      </w:r>
    </w:p>
  </w:footnote>
  <w:footnote w:id="27">
    <w:p w:rsidR="0081308D" w:rsidRPr="009F0023" w:rsidRDefault="0081308D" w:rsidP="0090176C">
      <w:pPr>
        <w:pStyle w:val="FootnoteText"/>
      </w:pPr>
      <w:r>
        <w:rPr>
          <w:rStyle w:val="FootnoteReference"/>
        </w:rPr>
        <w:footnoteRef/>
      </w:r>
      <w:r>
        <w:t xml:space="preserve"> This example suits the </w:t>
      </w:r>
      <w:proofErr w:type="spellStart"/>
      <w:r>
        <w:t>IoT</w:t>
      </w:r>
      <w:proofErr w:type="spellEnd"/>
      <w:r>
        <w:t xml:space="preserve"> concept as put forward by CASAGRAS, since it</w:t>
      </w:r>
      <w:r w:rsidRPr="009F0023">
        <w:t xml:space="preserve"> can be framed as a network development that </w:t>
      </w:r>
      <w:r w:rsidRPr="000E2AF5">
        <w:rPr>
          <w:iCs/>
        </w:rPr>
        <w:t>will offer specific object-identification, sensor and connection capability</w:t>
      </w:r>
      <w:r w:rsidRPr="009F0023">
        <w:t xml:space="preserve"> that can serve </w:t>
      </w:r>
      <w:r w:rsidRPr="000E2AF5">
        <w:rPr>
          <w:iCs/>
        </w:rPr>
        <w:t>as the basis for the development of independent cooperative services and applications.</w:t>
      </w:r>
    </w:p>
  </w:footnote>
  <w:footnote w:id="28">
    <w:p w:rsidR="0081308D" w:rsidRPr="009F0023" w:rsidRDefault="0081308D">
      <w:pPr>
        <w:pStyle w:val="FootnoteText"/>
      </w:pPr>
      <w:r>
        <w:rPr>
          <w:rStyle w:val="FootnoteReference"/>
        </w:rPr>
        <w:footnoteRef/>
      </w:r>
      <w:r>
        <w:t xml:space="preserve"> </w:t>
      </w:r>
      <w:r w:rsidRPr="009F0023">
        <w:t xml:space="preserve">See </w:t>
      </w:r>
      <w:hyperlink r:id="rId12" w:history="1">
        <w:r w:rsidRPr="009F0023">
          <w:rPr>
            <w:rStyle w:val="Hyperlink"/>
          </w:rPr>
          <w:t>http://www.ertico.com/heero</w:t>
        </w:r>
      </w:hyperlink>
      <w:r w:rsidRPr="009F0023">
        <w:t>, last seen January 24</w:t>
      </w:r>
      <w:r w:rsidRPr="009F0023">
        <w:rPr>
          <w:vertAlign w:val="superscript"/>
        </w:rPr>
        <w:t>th</w:t>
      </w:r>
      <w:r w:rsidRPr="009F0023">
        <w:t>, 2013.</w:t>
      </w:r>
    </w:p>
  </w:footnote>
  <w:footnote w:id="29">
    <w:p w:rsidR="0081308D" w:rsidRPr="00270EAA" w:rsidRDefault="0081308D" w:rsidP="005D5414">
      <w:pPr>
        <w:pStyle w:val="FootnoteText"/>
      </w:pPr>
      <w:r>
        <w:rPr>
          <w:rStyle w:val="FootnoteReference"/>
        </w:rPr>
        <w:footnoteRef/>
      </w:r>
      <w:r>
        <w:t xml:space="preserve"> See </w:t>
      </w:r>
      <w:r w:rsidRPr="00842F49">
        <w:t>http://bit.ly/nG5gLT</w:t>
      </w:r>
      <w:r>
        <w:t>, last seen November 29</w:t>
      </w:r>
      <w:r>
        <w:rPr>
          <w:vertAlign w:val="superscript"/>
        </w:rPr>
        <w:t>th</w:t>
      </w:r>
      <w:r>
        <w:t>, 2012.</w:t>
      </w:r>
    </w:p>
  </w:footnote>
  <w:footnote w:id="30">
    <w:p w:rsidR="0081308D" w:rsidRDefault="0081308D">
      <w:pPr>
        <w:pStyle w:val="FootnoteText"/>
      </w:pPr>
      <w:r>
        <w:rPr>
          <w:rStyle w:val="FootnoteReference"/>
        </w:rPr>
        <w:footnoteRef/>
      </w:r>
      <w:r>
        <w:t xml:space="preserve"> See </w:t>
      </w:r>
      <w:hyperlink r:id="rId13" w:history="1">
        <w:r w:rsidRPr="00A175F8">
          <w:rPr>
            <w:rStyle w:val="Hyperlink"/>
          </w:rPr>
          <w:t>http://cordis.europa.eu/fp7/ict/</w:t>
        </w:r>
      </w:hyperlink>
      <w:r>
        <w:t>, last seen November 29</w:t>
      </w:r>
      <w:r>
        <w:rPr>
          <w:vertAlign w:val="superscript"/>
        </w:rPr>
        <w:t>th</w:t>
      </w:r>
      <w:r>
        <w:t xml:space="preserve">, 2012. The Cooperation </w:t>
      </w:r>
      <w:proofErr w:type="spellStart"/>
      <w:r>
        <w:t>programme</w:t>
      </w:r>
      <w:proofErr w:type="spellEnd"/>
      <w:r>
        <w:t xml:space="preserve"> itself is the biggest specific </w:t>
      </w:r>
      <w:proofErr w:type="spellStart"/>
      <w:r>
        <w:t>programme</w:t>
      </w:r>
      <w:proofErr w:type="spellEnd"/>
      <w:r>
        <w:t xml:space="preserve"> within FP7, with a budget of €32.413 billion</w:t>
      </w:r>
    </w:p>
  </w:footnote>
  <w:footnote w:id="31">
    <w:p w:rsidR="0081308D" w:rsidRDefault="0081308D">
      <w:pPr>
        <w:pStyle w:val="FootnoteText"/>
      </w:pPr>
      <w:r>
        <w:rPr>
          <w:rStyle w:val="FootnoteReference"/>
        </w:rPr>
        <w:footnoteRef/>
      </w:r>
      <w:r>
        <w:t xml:space="preserve"> ICT WP 2013, p. 8</w:t>
      </w:r>
    </w:p>
  </w:footnote>
  <w:footnote w:id="32">
    <w:p w:rsidR="0081308D" w:rsidRPr="00097C39" w:rsidRDefault="0081308D">
      <w:pPr>
        <w:pStyle w:val="FootnoteText"/>
      </w:pPr>
      <w:r>
        <w:rPr>
          <w:rStyle w:val="FootnoteReference"/>
        </w:rPr>
        <w:footnoteRef/>
      </w:r>
      <w:r>
        <w:t xml:space="preserve"> See </w:t>
      </w:r>
      <w:hyperlink r:id="rId14" w:history="1">
        <w:r w:rsidRPr="00AD148A">
          <w:rPr>
            <w:rStyle w:val="Hyperlink"/>
          </w:rPr>
          <w:t>http://www.srdc.com.tr/projects/icardea/</w:t>
        </w:r>
      </w:hyperlink>
      <w:r>
        <w:t xml:space="preserve"> &amp; </w:t>
      </w:r>
      <w:r w:rsidRPr="00097C39">
        <w:t>http://bit.ly/S9nCk0</w:t>
      </w:r>
      <w:r>
        <w:t>, last seen January 17</w:t>
      </w:r>
      <w:r>
        <w:rPr>
          <w:vertAlign w:val="superscript"/>
        </w:rPr>
        <w:t>th</w:t>
      </w:r>
      <w:r>
        <w:t>, 2013.</w:t>
      </w:r>
    </w:p>
  </w:footnote>
  <w:footnote w:id="33">
    <w:p w:rsidR="0081308D" w:rsidRPr="006D23BF" w:rsidRDefault="0081308D" w:rsidP="00B67E95">
      <w:pPr>
        <w:pStyle w:val="FootnoteText"/>
        <w:rPr>
          <w:i/>
        </w:rPr>
      </w:pPr>
      <w:r>
        <w:rPr>
          <w:rStyle w:val="FootnoteReference"/>
        </w:rPr>
        <w:footnoteRef/>
      </w:r>
      <w:r>
        <w:t xml:space="preserve"> </w:t>
      </w:r>
      <w:r w:rsidRPr="00445024">
        <w:t>M</w:t>
      </w:r>
      <w:r>
        <w:t>.</w:t>
      </w:r>
      <w:r w:rsidRPr="00445024">
        <w:t xml:space="preserve"> </w:t>
      </w:r>
      <w:proofErr w:type="spellStart"/>
      <w:r w:rsidRPr="00445024">
        <w:t>Friedewald</w:t>
      </w:r>
      <w:proofErr w:type="spellEnd"/>
      <w:r w:rsidRPr="00445024">
        <w:t>, R</w:t>
      </w:r>
      <w:r>
        <w:t>.</w:t>
      </w:r>
      <w:r w:rsidRPr="00445024">
        <w:t xml:space="preserve"> Lindner &amp; D</w:t>
      </w:r>
      <w:r>
        <w:t xml:space="preserve">. </w:t>
      </w:r>
      <w:r w:rsidRPr="00445024">
        <w:t>Wright</w:t>
      </w:r>
      <w:r>
        <w:t xml:space="preserve"> (2006),</w:t>
      </w:r>
      <w:r w:rsidRPr="00445024">
        <w:t xml:space="preserve"> </w:t>
      </w:r>
      <w:r w:rsidRPr="006D23BF">
        <w:rPr>
          <w:i/>
        </w:rPr>
        <w:t>Safeguards in a World of Ambient Intelligence (SWAMI)</w:t>
      </w:r>
    </w:p>
    <w:p w:rsidR="0081308D" w:rsidRDefault="0081308D" w:rsidP="00B67E95">
      <w:pPr>
        <w:pStyle w:val="FootnoteText"/>
      </w:pPr>
      <w:r w:rsidRPr="006D23BF">
        <w:rPr>
          <w:i/>
        </w:rPr>
        <w:t>Threats, Vulnerabilities and Safeguards in Ambient Intelligence</w:t>
      </w:r>
      <w:r>
        <w:t xml:space="preserve">, </w:t>
      </w:r>
      <w:r w:rsidRPr="00445024">
        <w:t>Deliverable D3</w:t>
      </w:r>
      <w:r>
        <w:t xml:space="preserve">, </w:t>
      </w:r>
      <w:r w:rsidRPr="00445024">
        <w:t>3 July 2006</w:t>
      </w:r>
      <w:r>
        <w:t>, p. 37.</w:t>
      </w:r>
    </w:p>
  </w:footnote>
  <w:footnote w:id="34">
    <w:p w:rsidR="0081308D" w:rsidRDefault="0081308D" w:rsidP="00B67E95">
      <w:pPr>
        <w:pStyle w:val="FootnoteText"/>
      </w:pPr>
      <w:r>
        <w:rPr>
          <w:rStyle w:val="FootnoteReference"/>
        </w:rPr>
        <w:footnoteRef/>
      </w:r>
      <w:r>
        <w:t xml:space="preserve"> SWAMI, p. 8 &amp; 25.</w:t>
      </w:r>
    </w:p>
  </w:footnote>
  <w:footnote w:id="35">
    <w:p w:rsidR="0081308D" w:rsidRDefault="0081308D" w:rsidP="00EA576D">
      <w:pPr>
        <w:pStyle w:val="FootnoteText"/>
      </w:pPr>
      <w:r>
        <w:rPr>
          <w:rStyle w:val="FootnoteReference"/>
        </w:rPr>
        <w:footnoteRef/>
      </w:r>
      <w:r>
        <w:t xml:space="preserve"> A report from the EU Commission Task Force claims that smart meters are necessary to realize a smart grid. The Task Force for Smart Grids</w:t>
      </w:r>
      <w:r w:rsidRPr="005C1E69">
        <w:t xml:space="preserve"> Expert Group 1</w:t>
      </w:r>
      <w:r>
        <w:t>,</w:t>
      </w:r>
      <w:r w:rsidRPr="005C1E69">
        <w:t xml:space="preserve"> </w:t>
      </w:r>
      <w:r w:rsidRPr="0036672A">
        <w:rPr>
          <w:i/>
        </w:rPr>
        <w:t>Functionalities of smart grids and smart meters</w:t>
      </w:r>
      <w:r>
        <w:t xml:space="preserve">, December 2010, p. 16. </w:t>
      </w:r>
    </w:p>
  </w:footnote>
  <w:footnote w:id="36">
    <w:p w:rsidR="0081308D" w:rsidRPr="009F0023" w:rsidRDefault="0081308D" w:rsidP="00B52CDC">
      <w:pPr>
        <w:autoSpaceDE w:val="0"/>
        <w:autoSpaceDN w:val="0"/>
        <w:adjustRightInd w:val="0"/>
        <w:spacing w:after="0" w:line="240" w:lineRule="auto"/>
        <w:rPr>
          <w:rFonts w:cs="TTE24EB478t00"/>
          <w:color w:val="000000"/>
          <w:sz w:val="20"/>
          <w:szCs w:val="20"/>
          <w:lang w:val="en-US" w:eastAsia="nl-NL"/>
        </w:rPr>
      </w:pPr>
      <w:r>
        <w:rPr>
          <w:rStyle w:val="FootnoteReference"/>
        </w:rPr>
        <w:footnoteRef/>
      </w:r>
      <w:r w:rsidRPr="009F0023">
        <w:rPr>
          <w:lang w:val="en-US"/>
        </w:rPr>
        <w:t xml:space="preserve"> </w:t>
      </w:r>
      <w:r w:rsidRPr="009F0023">
        <w:rPr>
          <w:sz w:val="20"/>
          <w:szCs w:val="20"/>
          <w:lang w:val="en-US"/>
        </w:rPr>
        <w:t>‘Smart Grids: from innovation to deployment’</w:t>
      </w:r>
      <w:r w:rsidRPr="009F0023">
        <w:rPr>
          <w:rFonts w:cs="TTE24EB478t00"/>
          <w:color w:val="000000"/>
          <w:sz w:val="20"/>
          <w:szCs w:val="20"/>
          <w:lang w:val="en-US" w:eastAsia="nl-NL"/>
        </w:rPr>
        <w:t xml:space="preserve"> (Brussels 12.4.2011: Communication from the Commission to the European Parliament, the Council, the European Economic and Social Committee and the Committee of </w:t>
      </w:r>
      <w:proofErr w:type="spellStart"/>
      <w:r w:rsidRPr="009F0023">
        <w:rPr>
          <w:rFonts w:cs="TTE24EB478t00"/>
          <w:color w:val="000000"/>
          <w:sz w:val="20"/>
          <w:szCs w:val="20"/>
          <w:lang w:val="en-US" w:eastAsia="nl-NL"/>
        </w:rPr>
        <w:t>theRegions</w:t>
      </w:r>
      <w:proofErr w:type="spellEnd"/>
      <w:r w:rsidRPr="009F0023">
        <w:rPr>
          <w:rFonts w:cs="TTE24EB478t00"/>
          <w:color w:val="000000"/>
          <w:sz w:val="20"/>
          <w:szCs w:val="20"/>
          <w:lang w:val="en-US" w:eastAsia="nl-NL"/>
        </w:rPr>
        <w:t xml:space="preserve">, </w:t>
      </w:r>
      <w:r w:rsidRPr="009F0023">
        <w:rPr>
          <w:rFonts w:cs="TTE24EB478t00"/>
          <w:color w:val="000000"/>
          <w:lang w:val="en-US" w:eastAsia="nl-NL"/>
        </w:rPr>
        <w:t>2011</w:t>
      </w:r>
      <w:r w:rsidRPr="009F0023">
        <w:rPr>
          <w:rFonts w:cs="TTE24EB478t00"/>
          <w:color w:val="000000"/>
          <w:sz w:val="20"/>
          <w:szCs w:val="20"/>
          <w:lang w:val="en-US" w:eastAsia="nl-NL"/>
        </w:rPr>
        <w:t xml:space="preserve">) see </w:t>
      </w:r>
      <w:r w:rsidR="006D61A3">
        <w:fldChar w:fldCharType="begin"/>
      </w:r>
      <w:r w:rsidR="006D61A3" w:rsidRPr="006D61A3">
        <w:rPr>
          <w:lang w:val="en-US"/>
          <w:rPrChange w:id="12" w:author="Tijmen Wisman" w:date="2013-05-13T12:16:00Z">
            <w:rPr/>
          </w:rPrChange>
        </w:rPr>
        <w:instrText>HYPERLINK "http://bit.ly/KVVKWW"</w:instrText>
      </w:r>
      <w:r w:rsidR="006D61A3">
        <w:fldChar w:fldCharType="separate"/>
      </w:r>
      <w:r w:rsidRPr="009F0023">
        <w:rPr>
          <w:rStyle w:val="Hyperlink"/>
          <w:rFonts w:cs="TTE24EB478t00"/>
          <w:sz w:val="20"/>
          <w:szCs w:val="20"/>
          <w:lang w:val="en-US" w:eastAsia="nl-NL"/>
        </w:rPr>
        <w:t>http://bit.ly/KVVKWW</w:t>
      </w:r>
      <w:r w:rsidR="006D61A3">
        <w:fldChar w:fldCharType="end"/>
      </w:r>
      <w:r w:rsidRPr="009F0023">
        <w:rPr>
          <w:rFonts w:cs="TTE24EB478t00"/>
          <w:color w:val="000000"/>
          <w:sz w:val="20"/>
          <w:szCs w:val="20"/>
          <w:lang w:val="en-US" w:eastAsia="nl-NL"/>
        </w:rPr>
        <w:t>, last seen January 25</w:t>
      </w:r>
      <w:r w:rsidRPr="009F0023">
        <w:rPr>
          <w:rFonts w:cs="TTE24EB478t00"/>
          <w:color w:val="000000"/>
          <w:sz w:val="20"/>
          <w:szCs w:val="20"/>
          <w:vertAlign w:val="superscript"/>
          <w:lang w:val="en-US" w:eastAsia="nl-NL"/>
        </w:rPr>
        <w:t>th</w:t>
      </w:r>
      <w:r w:rsidRPr="009F0023">
        <w:rPr>
          <w:rFonts w:cs="TTE24EB478t00"/>
          <w:color w:val="000000"/>
          <w:sz w:val="20"/>
          <w:szCs w:val="20"/>
          <w:lang w:val="en-US" w:eastAsia="nl-NL"/>
        </w:rPr>
        <w:t>, 2013.</w:t>
      </w:r>
    </w:p>
  </w:footnote>
  <w:footnote w:id="37">
    <w:p w:rsidR="0081308D" w:rsidRDefault="0081308D">
      <w:pPr>
        <w:pStyle w:val="FootnoteText"/>
      </w:pPr>
      <w:r>
        <w:rPr>
          <w:rStyle w:val="FootnoteReference"/>
        </w:rPr>
        <w:footnoteRef/>
      </w:r>
      <w:r>
        <w:t xml:space="preserve"> Council Directive (EC) 2009/72 concerning common rules for the internal market in electricity and repealing Directive 2003/54/EC [2009], OJ L 211/55, (2009 Electricity Directive).</w:t>
      </w:r>
    </w:p>
  </w:footnote>
  <w:footnote w:id="38">
    <w:p w:rsidR="0081308D" w:rsidRPr="00BB27A2" w:rsidRDefault="0081308D" w:rsidP="00E22959">
      <w:pPr>
        <w:pStyle w:val="FootnoteText"/>
      </w:pPr>
      <w:r>
        <w:rPr>
          <w:rStyle w:val="FootnoteReference"/>
        </w:rPr>
        <w:footnoteRef/>
      </w:r>
      <w:r>
        <w:t xml:space="preserve"> </w:t>
      </w:r>
      <w:r w:rsidRPr="00BB27A2">
        <w:t xml:space="preserve">J. </w:t>
      </w:r>
      <w:proofErr w:type="spellStart"/>
      <w:r w:rsidRPr="00BB27A2">
        <w:t>Arko</w:t>
      </w:r>
      <w:proofErr w:type="spellEnd"/>
      <w:r w:rsidRPr="00BB27A2">
        <w:t xml:space="preserve">, </w:t>
      </w:r>
      <w:r w:rsidRPr="00BB27A2">
        <w:rPr>
          <w:i/>
        </w:rPr>
        <w:t>Building the Internet of Things</w:t>
      </w:r>
      <w:r w:rsidRPr="00BB27A2">
        <w:t xml:space="preserve">, Ericsson Research, p. 1. See </w:t>
      </w:r>
      <w:hyperlink r:id="rId15" w:history="1">
        <w:r w:rsidRPr="00BB27A2">
          <w:rPr>
            <w:rStyle w:val="Hyperlink"/>
          </w:rPr>
          <w:t>http://www.arkko.com/publications/vitel_arkko.pdf</w:t>
        </w:r>
      </w:hyperlink>
      <w:r w:rsidRPr="00BB27A2">
        <w:t>, last seen August 18</w:t>
      </w:r>
      <w:r w:rsidRPr="00BB27A2">
        <w:rPr>
          <w:vertAlign w:val="superscript"/>
        </w:rPr>
        <w:t>th</w:t>
      </w:r>
      <w:r w:rsidRPr="00BB27A2">
        <w:t>, 2012.</w:t>
      </w:r>
    </w:p>
  </w:footnote>
  <w:footnote w:id="39">
    <w:p w:rsidR="0081308D" w:rsidRPr="00322D9D" w:rsidRDefault="0081308D" w:rsidP="0013233A">
      <w:pPr>
        <w:pStyle w:val="FootnoteText"/>
      </w:pPr>
      <w:r>
        <w:rPr>
          <w:rStyle w:val="FootnoteReference"/>
        </w:rPr>
        <w:footnoteRef/>
      </w:r>
      <w:r>
        <w:t xml:space="preserve"> </w:t>
      </w:r>
      <w:r w:rsidRPr="00090721">
        <w:t xml:space="preserve">F.D. Garcia &amp; B. Jacobs, </w:t>
      </w:r>
      <w:r w:rsidRPr="00090721">
        <w:rPr>
          <w:i/>
        </w:rPr>
        <w:t xml:space="preserve">Privacy-friendly Energy-metering via </w:t>
      </w:r>
      <w:proofErr w:type="spellStart"/>
      <w:r w:rsidRPr="00090721">
        <w:rPr>
          <w:i/>
        </w:rPr>
        <w:t>Homomorphic</w:t>
      </w:r>
      <w:proofErr w:type="spellEnd"/>
      <w:r w:rsidRPr="00090721">
        <w:rPr>
          <w:i/>
        </w:rPr>
        <w:t xml:space="preserve"> Encryption</w:t>
      </w:r>
      <w:r w:rsidRPr="00090721">
        <w:t xml:space="preserve">, Institute for Computing and Information Sciences, </w:t>
      </w:r>
      <w:proofErr w:type="spellStart"/>
      <w:r w:rsidRPr="00090721">
        <w:t>Radboud</w:t>
      </w:r>
      <w:proofErr w:type="spellEnd"/>
      <w:r w:rsidRPr="00090721">
        <w:t xml:space="preserve"> University Nijmegen, p. 4.</w:t>
      </w:r>
    </w:p>
  </w:footnote>
  <w:footnote w:id="40">
    <w:p w:rsidR="0081308D" w:rsidRPr="009F0023" w:rsidRDefault="0081308D" w:rsidP="00D1585F">
      <w:pPr>
        <w:pStyle w:val="FootnoteText"/>
      </w:pPr>
      <w:r>
        <w:rPr>
          <w:rStyle w:val="FootnoteReference"/>
        </w:rPr>
        <w:footnoteRef/>
      </w:r>
      <w:r>
        <w:t xml:space="preserve"> Task Force for Smart Grids Expert Group, p. 15. </w:t>
      </w:r>
    </w:p>
  </w:footnote>
  <w:footnote w:id="41">
    <w:p w:rsidR="0081308D" w:rsidRPr="001800DE" w:rsidRDefault="0081308D" w:rsidP="00B32BFF">
      <w:pPr>
        <w:pStyle w:val="FootnoteText"/>
      </w:pPr>
      <w:r>
        <w:rPr>
          <w:rStyle w:val="FootnoteReference"/>
        </w:rPr>
        <w:footnoteRef/>
      </w:r>
      <w:r w:rsidRPr="009C3378">
        <w:rPr>
          <w:lang w:val="en-GB"/>
        </w:rPr>
        <w:t xml:space="preserve"> Smart meters can be used for gas, water and electricity. The scope of this article </w:t>
      </w:r>
      <w:r>
        <w:rPr>
          <w:lang w:val="en-GB"/>
        </w:rPr>
        <w:t>is limited to</w:t>
      </w:r>
      <w:r w:rsidRPr="009C3378">
        <w:rPr>
          <w:lang w:val="en-GB"/>
        </w:rPr>
        <w:t xml:space="preserve"> the smart </w:t>
      </w:r>
      <w:r>
        <w:rPr>
          <w:lang w:val="en-GB"/>
        </w:rPr>
        <w:t>electricity meter, so this is what the term ‘smart meter’ refers to for the rest of the article.</w:t>
      </w:r>
    </w:p>
  </w:footnote>
  <w:footnote w:id="42">
    <w:p w:rsidR="0081308D" w:rsidRPr="00D824EA" w:rsidRDefault="0081308D" w:rsidP="00B32BFF">
      <w:pPr>
        <w:pStyle w:val="FootnoteText"/>
      </w:pPr>
      <w:r>
        <w:rPr>
          <w:rStyle w:val="FootnoteReference"/>
        </w:rPr>
        <w:footnoteRef/>
      </w:r>
      <w:r w:rsidRPr="009C3378">
        <w:rPr>
          <w:lang w:val="en-GB"/>
        </w:rPr>
        <w:t xml:space="preserve"> Cluster of European Research Projects on the Internet of Things, </w:t>
      </w:r>
      <w:r w:rsidRPr="009C3378">
        <w:rPr>
          <w:i/>
          <w:lang w:val="en-GB"/>
        </w:rPr>
        <w:t>Visions and Challenges for Realising the Internet of Things</w:t>
      </w:r>
      <w:r w:rsidRPr="009C3378">
        <w:rPr>
          <w:lang w:val="en-GB"/>
        </w:rPr>
        <w:t>, March 2010, p 51.</w:t>
      </w:r>
      <w:r>
        <w:rPr>
          <w:lang w:val="en-GB"/>
        </w:rPr>
        <w:t xml:space="preserve"> Hereafter defined as </w:t>
      </w:r>
      <w:r>
        <w:rPr>
          <w:i/>
          <w:lang w:val="en-GB"/>
        </w:rPr>
        <w:t>Intelligent Home Network</w:t>
      </w:r>
      <w:r>
        <w:rPr>
          <w:lang w:val="en-GB"/>
        </w:rPr>
        <w:t>,</w:t>
      </w:r>
      <w:r>
        <w:rPr>
          <w:i/>
          <w:lang w:val="en-GB"/>
        </w:rPr>
        <w:t xml:space="preserve"> </w:t>
      </w:r>
      <w:r>
        <w:rPr>
          <w:lang w:val="en-GB"/>
        </w:rPr>
        <w:t xml:space="preserve">IHN. </w:t>
      </w:r>
    </w:p>
  </w:footnote>
  <w:footnote w:id="43">
    <w:p w:rsidR="0081308D" w:rsidRPr="00680570" w:rsidRDefault="0081308D" w:rsidP="00606C1F">
      <w:pPr>
        <w:autoSpaceDE w:val="0"/>
        <w:autoSpaceDN w:val="0"/>
        <w:adjustRightInd w:val="0"/>
        <w:spacing w:after="0" w:line="240" w:lineRule="auto"/>
        <w:rPr>
          <w:rFonts w:cs="BookAntiqua"/>
          <w:sz w:val="20"/>
          <w:szCs w:val="20"/>
          <w:lang w:val="en-US"/>
        </w:rPr>
      </w:pPr>
      <w:r>
        <w:rPr>
          <w:rStyle w:val="FootnoteReference"/>
        </w:rPr>
        <w:footnoteRef/>
      </w:r>
      <w:r w:rsidRPr="0076637D">
        <w:rPr>
          <w:lang w:val="en-US"/>
        </w:rPr>
        <w:t xml:space="preserve"> </w:t>
      </w:r>
      <w:r w:rsidRPr="00680570">
        <w:rPr>
          <w:rFonts w:cs="BookAntiqua"/>
          <w:sz w:val="20"/>
          <w:szCs w:val="20"/>
          <w:lang w:val="en-US"/>
        </w:rPr>
        <w:t xml:space="preserve">Mulligan, Deirdre K., Wang, </w:t>
      </w:r>
      <w:proofErr w:type="spellStart"/>
      <w:r w:rsidRPr="00680570">
        <w:rPr>
          <w:rFonts w:cs="BookAntiqua"/>
          <w:sz w:val="20"/>
          <w:szCs w:val="20"/>
          <w:lang w:val="en-US"/>
        </w:rPr>
        <w:t>Longhao</w:t>
      </w:r>
      <w:proofErr w:type="spellEnd"/>
      <w:r w:rsidRPr="00680570">
        <w:rPr>
          <w:rFonts w:cs="BookAntiqua"/>
          <w:sz w:val="20"/>
          <w:szCs w:val="20"/>
          <w:lang w:val="en-US"/>
        </w:rPr>
        <w:t>, and Burstein, Aaron J.. University of California,</w:t>
      </w:r>
    </w:p>
    <w:p w:rsidR="0081308D" w:rsidRPr="00680570" w:rsidRDefault="0081308D" w:rsidP="00606C1F">
      <w:pPr>
        <w:autoSpaceDE w:val="0"/>
        <w:autoSpaceDN w:val="0"/>
        <w:adjustRightInd w:val="0"/>
        <w:spacing w:after="0" w:line="240" w:lineRule="auto"/>
        <w:rPr>
          <w:rFonts w:cs="BookAntiqua"/>
          <w:sz w:val="20"/>
          <w:szCs w:val="20"/>
          <w:lang w:val="en-US"/>
        </w:rPr>
      </w:pPr>
      <w:r w:rsidRPr="00680570">
        <w:rPr>
          <w:rFonts w:cs="BookAntiqua"/>
          <w:sz w:val="20"/>
          <w:szCs w:val="20"/>
          <w:lang w:val="en-US"/>
        </w:rPr>
        <w:t xml:space="preserve">Berkeley. 2010. </w:t>
      </w:r>
      <w:r w:rsidRPr="00680570">
        <w:rPr>
          <w:rFonts w:cs="BookAntiqua-BoldItalic"/>
          <w:bCs/>
          <w:i/>
          <w:iCs/>
          <w:sz w:val="20"/>
          <w:szCs w:val="20"/>
          <w:lang w:val="en-US"/>
        </w:rPr>
        <w:t>Privacy in the Smart Grid: An Information Flow Analysis.</w:t>
      </w:r>
      <w:r w:rsidRPr="00680570">
        <w:rPr>
          <w:rFonts w:cs="BookAntiqua-BoldItalic"/>
          <w:b/>
          <w:bCs/>
          <w:i/>
          <w:iCs/>
          <w:sz w:val="20"/>
          <w:szCs w:val="20"/>
          <w:lang w:val="en-US"/>
        </w:rPr>
        <w:t xml:space="preserve"> </w:t>
      </w:r>
      <w:r w:rsidRPr="00680570">
        <w:rPr>
          <w:rFonts w:cs="BookAntiqua"/>
          <w:sz w:val="20"/>
          <w:szCs w:val="20"/>
          <w:lang w:val="en-US"/>
        </w:rPr>
        <w:t>California</w:t>
      </w:r>
    </w:p>
    <w:p w:rsidR="0081308D" w:rsidRPr="0076637D" w:rsidRDefault="0081308D" w:rsidP="00606C1F">
      <w:pPr>
        <w:pStyle w:val="FootnoteText"/>
      </w:pPr>
      <w:r w:rsidRPr="00680570">
        <w:rPr>
          <w:rFonts w:cs="BookAntiqua"/>
        </w:rPr>
        <w:t>Institute for Energy and En</w:t>
      </w:r>
      <w:r>
        <w:rPr>
          <w:rFonts w:cs="BookAntiqua"/>
        </w:rPr>
        <w:t>vironment. Final Project Report, p. 41.</w:t>
      </w:r>
    </w:p>
  </w:footnote>
  <w:footnote w:id="44">
    <w:p w:rsidR="0081308D" w:rsidRPr="009E6E9B" w:rsidRDefault="0081308D">
      <w:pPr>
        <w:pStyle w:val="FootnoteText"/>
      </w:pPr>
      <w:r>
        <w:rPr>
          <w:rStyle w:val="FootnoteReference"/>
        </w:rPr>
        <w:footnoteRef/>
      </w:r>
      <w:r>
        <w:t xml:space="preserve"> ICT – Information and communication technologies, </w:t>
      </w:r>
      <w:r>
        <w:rPr>
          <w:i/>
        </w:rPr>
        <w:t xml:space="preserve">Work </w:t>
      </w:r>
      <w:proofErr w:type="spellStart"/>
      <w:r>
        <w:rPr>
          <w:i/>
        </w:rPr>
        <w:t>programme</w:t>
      </w:r>
      <w:proofErr w:type="spellEnd"/>
      <w:r>
        <w:rPr>
          <w:i/>
        </w:rPr>
        <w:t xml:space="preserve"> </w:t>
      </w:r>
      <w:r w:rsidRPr="000505A9">
        <w:t>2013</w:t>
      </w:r>
      <w:r>
        <w:t xml:space="preserve">, Cooperation theme 3, (European Commission C (2012)4536 of 09 July 2012), p. 37 &amp; 44. See </w:t>
      </w:r>
      <w:hyperlink r:id="rId16" w:history="1">
        <w:r w:rsidRPr="00700A12">
          <w:rPr>
            <w:rStyle w:val="Hyperlink"/>
          </w:rPr>
          <w:t>http://bit.ly/WYHmDL</w:t>
        </w:r>
      </w:hyperlink>
      <w:r>
        <w:t>, last seen January 24</w:t>
      </w:r>
      <w:r>
        <w:rPr>
          <w:vertAlign w:val="superscript"/>
        </w:rPr>
        <w:t>th</w:t>
      </w:r>
      <w:r>
        <w:t>, 2013.</w:t>
      </w:r>
    </w:p>
  </w:footnote>
  <w:footnote w:id="45">
    <w:p w:rsidR="0081308D" w:rsidRPr="009F0023" w:rsidRDefault="0081308D">
      <w:pPr>
        <w:pStyle w:val="FootnoteText"/>
      </w:pPr>
      <w:r>
        <w:rPr>
          <w:rStyle w:val="FootnoteReference"/>
        </w:rPr>
        <w:footnoteRef/>
      </w:r>
      <w:r>
        <w:t xml:space="preserve"> </w:t>
      </w:r>
      <w:r w:rsidRPr="009F0023">
        <w:t xml:space="preserve">This is the number I got through correspondence with an EU representative closely involved in CERP </w:t>
      </w:r>
      <w:proofErr w:type="spellStart"/>
      <w:r w:rsidRPr="009F0023">
        <w:t>IoT</w:t>
      </w:r>
      <w:proofErr w:type="spellEnd"/>
      <w:r w:rsidRPr="009F0023">
        <w:t>.</w:t>
      </w:r>
    </w:p>
  </w:footnote>
  <w:footnote w:id="46">
    <w:p w:rsidR="0081308D" w:rsidRPr="009F0023" w:rsidRDefault="0081308D" w:rsidP="00947630">
      <w:pPr>
        <w:pStyle w:val="FootnoteText"/>
      </w:pPr>
      <w:r>
        <w:rPr>
          <w:rStyle w:val="FootnoteReference"/>
        </w:rPr>
        <w:footnoteRef/>
      </w:r>
      <w:r>
        <w:t xml:space="preserve"> </w:t>
      </w:r>
      <w:r w:rsidRPr="009F0023">
        <w:t xml:space="preserve">The realizing of the smart grid which can be brought under the scope of the </w:t>
      </w:r>
      <w:proofErr w:type="spellStart"/>
      <w:r w:rsidRPr="009F0023">
        <w:t>IoT</w:t>
      </w:r>
      <w:proofErr w:type="spellEnd"/>
      <w:r w:rsidRPr="009F0023">
        <w:t>-vision already receives € 300 million.</w:t>
      </w:r>
    </w:p>
  </w:footnote>
  <w:footnote w:id="47">
    <w:p w:rsidR="0081308D" w:rsidRPr="00691138" w:rsidRDefault="0081308D" w:rsidP="00E232BA">
      <w:pPr>
        <w:pStyle w:val="FootnoteText"/>
      </w:pPr>
      <w:r>
        <w:rPr>
          <w:rStyle w:val="FootnoteReference"/>
        </w:rPr>
        <w:footnoteRef/>
      </w:r>
      <w:r>
        <w:t xml:space="preserve"> </w:t>
      </w:r>
      <w:r w:rsidRPr="00691138">
        <w:t>This group consisted of 27 people, among which were the representatives of the industrial defense-</w:t>
      </w:r>
      <w:proofErr w:type="spellStart"/>
      <w:r w:rsidRPr="00691138">
        <w:t>lobby:Jan</w:t>
      </w:r>
      <w:proofErr w:type="spellEnd"/>
      <w:r w:rsidRPr="00691138">
        <w:t xml:space="preserve"> Dekker of TNO, Thomas Diehl of</w:t>
      </w:r>
      <w:r>
        <w:t xml:space="preserve"> </w:t>
      </w:r>
      <w:proofErr w:type="spellStart"/>
      <w:r w:rsidRPr="00691138">
        <w:t>Diel</w:t>
      </w:r>
      <w:proofErr w:type="spellEnd"/>
      <w:r w:rsidRPr="00691138">
        <w:t xml:space="preserve"> </w:t>
      </w:r>
      <w:proofErr w:type="spellStart"/>
      <w:r w:rsidRPr="00691138">
        <w:t>Stiftung</w:t>
      </w:r>
      <w:proofErr w:type="spellEnd"/>
      <w:r w:rsidRPr="00691138">
        <w:t xml:space="preserve"> &amp; Co (producer of the ‘Sidewinder rocket’ and ‘</w:t>
      </w:r>
      <w:proofErr w:type="spellStart"/>
      <w:r w:rsidRPr="00691138">
        <w:t>Panzerfaust</w:t>
      </w:r>
      <w:proofErr w:type="spellEnd"/>
      <w:r w:rsidRPr="00691138">
        <w:t xml:space="preserve"> </w:t>
      </w:r>
      <w:smartTag w:uri="urn:schemas-microsoft-com:office:smarttags" w:element="metricconverter">
        <w:smartTagPr>
          <w:attr w:name="ProductID" w:val="3’"/>
        </w:smartTagPr>
        <w:r w:rsidRPr="00691138">
          <w:t>3’</w:t>
        </w:r>
      </w:smartTag>
      <w:r w:rsidRPr="00691138">
        <w:t xml:space="preserve">), Pier-Francesco </w:t>
      </w:r>
      <w:proofErr w:type="spellStart"/>
      <w:r w:rsidRPr="00691138">
        <w:t>Guarguaglini</w:t>
      </w:r>
      <w:proofErr w:type="spellEnd"/>
      <w:r w:rsidRPr="00691138">
        <w:t xml:space="preserve"> of </w:t>
      </w:r>
      <w:proofErr w:type="spellStart"/>
      <w:r w:rsidRPr="00691138">
        <w:t>Finmeccanica</w:t>
      </w:r>
      <w:proofErr w:type="spellEnd"/>
      <w:r w:rsidRPr="00691138">
        <w:t xml:space="preserve">, Rainer </w:t>
      </w:r>
      <w:proofErr w:type="spellStart"/>
      <w:r w:rsidRPr="00691138">
        <w:t>Hertrich</w:t>
      </w:r>
      <w:proofErr w:type="spellEnd"/>
      <w:r w:rsidRPr="00691138">
        <w:t xml:space="preserve"> of EADS (a Dutch NV that has divisions in airbus, military transport aircraft, aeronautics, space and </w:t>
      </w:r>
      <w:proofErr w:type="spellStart"/>
      <w:r w:rsidRPr="00691138">
        <w:t>defence</w:t>
      </w:r>
      <w:proofErr w:type="spellEnd"/>
      <w:r w:rsidRPr="00691138">
        <w:t xml:space="preserve"> and security systems), Erik </w:t>
      </w:r>
      <w:proofErr w:type="spellStart"/>
      <w:r w:rsidRPr="00691138">
        <w:t>Löwenadler</w:t>
      </w:r>
      <w:proofErr w:type="spellEnd"/>
      <w:r w:rsidRPr="00691138">
        <w:t xml:space="preserve"> of Ericsson Microwave Systems, Javier </w:t>
      </w:r>
      <w:proofErr w:type="spellStart"/>
      <w:r w:rsidRPr="00691138">
        <w:t>Monzón</w:t>
      </w:r>
      <w:proofErr w:type="spellEnd"/>
      <w:r w:rsidRPr="00691138">
        <w:t xml:space="preserve"> of INDRA (a Spanish information technology and defense systems company), Denis </w:t>
      </w:r>
      <w:proofErr w:type="spellStart"/>
      <w:r w:rsidRPr="00691138">
        <w:t>Ranque</w:t>
      </w:r>
      <w:proofErr w:type="spellEnd"/>
      <w:r w:rsidRPr="00691138">
        <w:t xml:space="preserve"> of Thales, Mike Turner of BAE-systems and Claus </w:t>
      </w:r>
      <w:proofErr w:type="spellStart"/>
      <w:r w:rsidRPr="00691138">
        <w:t>Weyrich</w:t>
      </w:r>
      <w:proofErr w:type="spellEnd"/>
      <w:r w:rsidRPr="00691138">
        <w:t xml:space="preserve"> of Siemens.</w:t>
      </w:r>
    </w:p>
  </w:footnote>
  <w:footnote w:id="48">
    <w:p w:rsidR="0081308D" w:rsidRPr="00691138" w:rsidRDefault="0081308D" w:rsidP="00E232BA">
      <w:pPr>
        <w:pStyle w:val="FootnoteText"/>
      </w:pPr>
      <w:r>
        <w:rPr>
          <w:rStyle w:val="FootnoteReference"/>
        </w:rPr>
        <w:footnoteRef/>
      </w:r>
      <w:r>
        <w:t xml:space="preserve"> </w:t>
      </w:r>
      <w:r w:rsidRPr="00691138">
        <w:t>This is a free interpretation of the</w:t>
      </w:r>
      <w:r>
        <w:t xml:space="preserve"> Dutch</w:t>
      </w:r>
      <w:r w:rsidRPr="00691138">
        <w:t xml:space="preserve"> commercial for a cleaning product for toilets ‘</w:t>
      </w:r>
      <w:proofErr w:type="spellStart"/>
      <w:r w:rsidRPr="00691138">
        <w:t>wc-eend</w:t>
      </w:r>
      <w:proofErr w:type="spellEnd"/>
      <w:r w:rsidRPr="00691138">
        <w:t>’ (</w:t>
      </w:r>
      <w:r>
        <w:t>toilet</w:t>
      </w:r>
      <w:r w:rsidRPr="00691138">
        <w:t>-duck). “</w:t>
      </w:r>
      <w:proofErr w:type="spellStart"/>
      <w:r w:rsidRPr="00691138">
        <w:t>Wij</w:t>
      </w:r>
      <w:proofErr w:type="spellEnd"/>
      <w:r w:rsidRPr="00691138">
        <w:t xml:space="preserve"> van </w:t>
      </w:r>
      <w:proofErr w:type="spellStart"/>
      <w:r w:rsidRPr="00691138">
        <w:t>wc-eend</w:t>
      </w:r>
      <w:proofErr w:type="spellEnd"/>
      <w:r w:rsidRPr="00691138">
        <w:t xml:space="preserve"> </w:t>
      </w:r>
      <w:proofErr w:type="spellStart"/>
      <w:r w:rsidRPr="00691138">
        <w:t>adviseren</w:t>
      </w:r>
      <w:proofErr w:type="spellEnd"/>
      <w:r w:rsidRPr="00691138">
        <w:t>…</w:t>
      </w:r>
      <w:proofErr w:type="spellStart"/>
      <w:r w:rsidRPr="00691138">
        <w:t>wc-eend</w:t>
      </w:r>
      <w:proofErr w:type="spellEnd"/>
      <w:r w:rsidRPr="00691138">
        <w:t>.”</w:t>
      </w:r>
      <w:r>
        <w:t xml:space="preserve"> </w:t>
      </w:r>
    </w:p>
  </w:footnote>
  <w:footnote w:id="49">
    <w:p w:rsidR="0081308D" w:rsidRPr="00691138" w:rsidRDefault="0081308D" w:rsidP="00E232BA">
      <w:pPr>
        <w:pStyle w:val="FootnoteText"/>
      </w:pPr>
      <w:r>
        <w:rPr>
          <w:rStyle w:val="FootnoteReference"/>
        </w:rPr>
        <w:footnoteRef/>
      </w:r>
      <w:r>
        <w:t xml:space="preserve"> </w:t>
      </w:r>
      <w:r w:rsidRPr="00691138">
        <w:t>Communication from the Commission to the Council, the European Parl</w:t>
      </w:r>
      <w:r>
        <w:t>iament, the European Economic a</w:t>
      </w:r>
      <w:r w:rsidRPr="00691138">
        <w:t>n</w:t>
      </w:r>
      <w:r>
        <w:t>d</w:t>
      </w:r>
      <w:r w:rsidRPr="00691138">
        <w:t xml:space="preserve"> Social Committee and the Committee of the Regions, </w:t>
      </w:r>
      <w:r w:rsidRPr="00691138">
        <w:rPr>
          <w:i/>
        </w:rPr>
        <w:t>Security Research: The Next Steps</w:t>
      </w:r>
      <w:r w:rsidRPr="00691138">
        <w:t>, Brussels 7.9.2004, COM (2004) 590 final.</w:t>
      </w:r>
    </w:p>
  </w:footnote>
  <w:footnote w:id="50">
    <w:p w:rsidR="0081308D" w:rsidRPr="00691138" w:rsidRDefault="0081308D" w:rsidP="00E232BA">
      <w:pPr>
        <w:pStyle w:val="FootnoteText"/>
      </w:pPr>
      <w:r>
        <w:rPr>
          <w:rStyle w:val="FootnoteReference"/>
        </w:rPr>
        <w:footnoteRef/>
      </w:r>
      <w:r>
        <w:t xml:space="preserve"> </w:t>
      </w:r>
      <w:r w:rsidRPr="00691138">
        <w:t>This phrase is literally cited from page 6 of the ‘Research for a Secure Europe: Report of the Group of Personalities in the field of Security Research.</w:t>
      </w:r>
      <w:r>
        <w:t>’</w:t>
      </w:r>
    </w:p>
  </w:footnote>
  <w:footnote w:id="51">
    <w:p w:rsidR="0081308D" w:rsidRDefault="0081308D" w:rsidP="00E232BA">
      <w:pPr>
        <w:pStyle w:val="FootnoteText"/>
      </w:pPr>
      <w:r>
        <w:rPr>
          <w:rStyle w:val="FootnoteReference"/>
        </w:rPr>
        <w:footnoteRef/>
      </w:r>
      <w:r>
        <w:t xml:space="preserve"> Security Research, Towards a more secure society and increased industrial competitiveness, Security Research Projects under the 7</w:t>
      </w:r>
      <w:r w:rsidRPr="00AF3D10">
        <w:rPr>
          <w:vertAlign w:val="superscript"/>
        </w:rPr>
        <w:t>th</w:t>
      </w:r>
      <w:r>
        <w:t xml:space="preserve"> Framework </w:t>
      </w:r>
      <w:proofErr w:type="spellStart"/>
      <w:r>
        <w:t>Programme</w:t>
      </w:r>
      <w:proofErr w:type="spellEnd"/>
      <w:r>
        <w:t xml:space="preserve"> for Research, European Commission, May 2009, p. 3.</w:t>
      </w:r>
    </w:p>
  </w:footnote>
  <w:footnote w:id="52">
    <w:p w:rsidR="0081308D" w:rsidRPr="009F0023" w:rsidRDefault="0081308D" w:rsidP="00E232BA">
      <w:pPr>
        <w:pStyle w:val="FootnoteText"/>
      </w:pPr>
      <w:r>
        <w:rPr>
          <w:rStyle w:val="FootnoteReference"/>
        </w:rPr>
        <w:footnoteRef/>
      </w:r>
      <w:r>
        <w:t xml:space="preserve"> </w:t>
      </w:r>
      <w:r w:rsidRPr="009F0023">
        <w:t xml:space="preserve">See </w:t>
      </w:r>
      <w:hyperlink r:id="rId17" w:history="1">
        <w:r w:rsidRPr="009F0023">
          <w:rPr>
            <w:rStyle w:val="Hyperlink"/>
          </w:rPr>
          <w:t>http://ec.europa.eu/enterprise/policies/security/indect/index_en.htm</w:t>
        </w:r>
      </w:hyperlink>
      <w:r w:rsidRPr="009F0023">
        <w:t>, last seen January 25</w:t>
      </w:r>
      <w:r w:rsidRPr="009F0023">
        <w:rPr>
          <w:vertAlign w:val="superscript"/>
        </w:rPr>
        <w:t>th</w:t>
      </w:r>
      <w:r w:rsidRPr="009F0023">
        <w:t xml:space="preserve">, 2013. </w:t>
      </w:r>
    </w:p>
  </w:footnote>
  <w:footnote w:id="53">
    <w:p w:rsidR="0081308D" w:rsidRPr="009F0023" w:rsidRDefault="0081308D" w:rsidP="00E232BA">
      <w:pPr>
        <w:pStyle w:val="FootnoteText"/>
      </w:pPr>
      <w:r>
        <w:rPr>
          <w:rStyle w:val="FootnoteReference"/>
        </w:rPr>
        <w:footnoteRef/>
      </w:r>
      <w:r>
        <w:t xml:space="preserve"> </w:t>
      </w:r>
      <w:r w:rsidRPr="009F0023">
        <w:t xml:space="preserve">See </w:t>
      </w:r>
      <w:hyperlink r:id="rId18" w:history="1">
        <w:r w:rsidRPr="009F0023">
          <w:rPr>
            <w:rStyle w:val="Hyperlink"/>
          </w:rPr>
          <w:t>http://wlstorage.net/file/indect-deliverable-4-2009.pdf</w:t>
        </w:r>
      </w:hyperlink>
      <w:r w:rsidRPr="009F0023">
        <w:t>, last seen January 25</w:t>
      </w:r>
      <w:r w:rsidRPr="009F0023">
        <w:rPr>
          <w:vertAlign w:val="superscript"/>
        </w:rPr>
        <w:t>th</w:t>
      </w:r>
      <w:r w:rsidRPr="009F0023">
        <w:t>, 2013.</w:t>
      </w:r>
    </w:p>
  </w:footnote>
  <w:footnote w:id="54">
    <w:p w:rsidR="0081308D" w:rsidRPr="009F0023" w:rsidRDefault="0081308D" w:rsidP="00E232BA">
      <w:pPr>
        <w:pStyle w:val="FootnoteText"/>
      </w:pPr>
      <w:r>
        <w:rPr>
          <w:rStyle w:val="FootnoteReference"/>
        </w:rPr>
        <w:footnoteRef/>
      </w:r>
      <w:r>
        <w:t xml:space="preserve"> </w:t>
      </w:r>
      <w:r w:rsidRPr="009F0023">
        <w:t xml:space="preserve">See </w:t>
      </w:r>
      <w:hyperlink r:id="rId19" w:history="1">
        <w:r w:rsidRPr="009F0023">
          <w:rPr>
            <w:rStyle w:val="Hyperlink"/>
          </w:rPr>
          <w:t>http://www.indect-project.eu/</w:t>
        </w:r>
      </w:hyperlink>
      <w:r w:rsidRPr="009F0023">
        <w:t>, last seen January 25</w:t>
      </w:r>
      <w:r w:rsidRPr="009F0023">
        <w:rPr>
          <w:vertAlign w:val="superscript"/>
        </w:rPr>
        <w:t>th</w:t>
      </w:r>
      <w:r w:rsidRPr="009F0023">
        <w:t>, 2013.</w:t>
      </w:r>
    </w:p>
  </w:footnote>
  <w:footnote w:id="55">
    <w:p w:rsidR="0081308D" w:rsidRPr="009F0023" w:rsidRDefault="0081308D" w:rsidP="00E232BA">
      <w:pPr>
        <w:pStyle w:val="FootnoteText"/>
      </w:pPr>
      <w:r>
        <w:rPr>
          <w:rStyle w:val="FootnoteReference"/>
        </w:rPr>
        <w:footnoteRef/>
      </w:r>
      <w:r>
        <w:t xml:space="preserve"> </w:t>
      </w:r>
      <w:r w:rsidRPr="009F0023">
        <w:t xml:space="preserve">See </w:t>
      </w:r>
      <w:hyperlink r:id="rId20" w:history="1">
        <w:r w:rsidRPr="009F0023">
          <w:rPr>
            <w:rStyle w:val="Hyperlink"/>
          </w:rPr>
          <w:t>http://www.sikharchives.com/?p=287</w:t>
        </w:r>
      </w:hyperlink>
      <w:r w:rsidRPr="009F0023">
        <w:t>, last seen January 25</w:t>
      </w:r>
      <w:r w:rsidRPr="009F0023">
        <w:rPr>
          <w:vertAlign w:val="superscript"/>
        </w:rPr>
        <w:t>th</w:t>
      </w:r>
      <w:r w:rsidRPr="009F0023">
        <w:t xml:space="preserve">, 2013. In case of doubt, I can mail the original </w:t>
      </w:r>
      <w:proofErr w:type="spellStart"/>
      <w:r w:rsidRPr="009F0023">
        <w:t>pdf</w:t>
      </w:r>
      <w:proofErr w:type="spellEnd"/>
      <w:r w:rsidRPr="009F0023">
        <w:t xml:space="preserve">. </w:t>
      </w:r>
    </w:p>
  </w:footnote>
  <w:footnote w:id="56">
    <w:p w:rsidR="0081308D" w:rsidRPr="00C67826" w:rsidRDefault="0081308D" w:rsidP="00142057">
      <w:pPr>
        <w:pStyle w:val="FootnoteText"/>
      </w:pPr>
      <w:r>
        <w:rPr>
          <w:rStyle w:val="FootnoteReference"/>
        </w:rPr>
        <w:footnoteRef/>
      </w:r>
      <w:r w:rsidRPr="00C67826">
        <w:t xml:space="preserve"> </w:t>
      </w:r>
      <w:r>
        <w:t xml:space="preserve">SWAMI, p. 11. </w:t>
      </w:r>
    </w:p>
  </w:footnote>
  <w:footnote w:id="57">
    <w:p w:rsidR="0081308D" w:rsidRPr="009F0023" w:rsidRDefault="0081308D">
      <w:pPr>
        <w:pStyle w:val="FootnoteText"/>
      </w:pPr>
      <w:r>
        <w:rPr>
          <w:rStyle w:val="FootnoteReference"/>
        </w:rPr>
        <w:footnoteRef/>
      </w:r>
      <w:r>
        <w:t xml:space="preserve"> See </w:t>
      </w:r>
      <w:r w:rsidRPr="002C35AF">
        <w:t>http://bit.ly/8ZFORy</w:t>
      </w:r>
      <w:r>
        <w:t>, last seen January 25</w:t>
      </w:r>
      <w:r>
        <w:rPr>
          <w:vertAlign w:val="superscript"/>
        </w:rPr>
        <w:t>th</w:t>
      </w:r>
      <w:r>
        <w:t>, 2013.</w:t>
      </w:r>
    </w:p>
  </w:footnote>
  <w:footnote w:id="58">
    <w:p w:rsidR="0081308D" w:rsidRPr="009F0023" w:rsidRDefault="0081308D" w:rsidP="003C5932">
      <w:pPr>
        <w:spacing w:after="0" w:line="240" w:lineRule="auto"/>
        <w:rPr>
          <w:rFonts w:ascii="Times New Roman" w:eastAsia="Times New Roman" w:hAnsi="Times New Roman"/>
          <w:sz w:val="24"/>
          <w:szCs w:val="24"/>
          <w:lang w:val="en-US"/>
        </w:rPr>
      </w:pPr>
      <w:r>
        <w:rPr>
          <w:rStyle w:val="FootnoteReference"/>
        </w:rPr>
        <w:footnoteRef/>
      </w:r>
      <w:r w:rsidRPr="009F0023">
        <w:rPr>
          <w:lang w:val="en-US"/>
        </w:rPr>
        <w:t xml:space="preserve"> </w:t>
      </w:r>
      <w:r w:rsidRPr="009F0023">
        <w:rPr>
          <w:rFonts w:eastAsia="Times New Roman"/>
          <w:sz w:val="20"/>
          <w:szCs w:val="20"/>
          <w:lang w:val="en-US"/>
        </w:rPr>
        <w:t xml:space="preserve">M. Los, ‘Looking into the future: surveillance, globalization and the totalitarian potential’, in </w:t>
      </w:r>
      <w:r w:rsidRPr="009F0023">
        <w:rPr>
          <w:rFonts w:eastAsia="Times New Roman"/>
          <w:i/>
          <w:iCs/>
          <w:sz w:val="20"/>
          <w:szCs w:val="20"/>
          <w:lang w:val="en-US"/>
        </w:rPr>
        <w:t xml:space="preserve">Theorizing Surveillance: The </w:t>
      </w:r>
      <w:proofErr w:type="spellStart"/>
      <w:r w:rsidRPr="009F0023">
        <w:rPr>
          <w:rFonts w:eastAsia="Times New Roman"/>
          <w:i/>
          <w:iCs/>
          <w:sz w:val="20"/>
          <w:szCs w:val="20"/>
          <w:lang w:val="en-US"/>
        </w:rPr>
        <w:t>panopticon</w:t>
      </w:r>
      <w:proofErr w:type="spellEnd"/>
      <w:r w:rsidRPr="009F0023">
        <w:rPr>
          <w:rFonts w:eastAsia="Times New Roman"/>
          <w:i/>
          <w:iCs/>
          <w:sz w:val="20"/>
          <w:szCs w:val="20"/>
          <w:lang w:val="en-US"/>
        </w:rPr>
        <w:t xml:space="preserve"> and beyond</w:t>
      </w:r>
      <w:r w:rsidRPr="009F0023">
        <w:rPr>
          <w:rFonts w:eastAsia="Times New Roman"/>
          <w:sz w:val="20"/>
          <w:szCs w:val="20"/>
          <w:lang w:val="en-US"/>
        </w:rPr>
        <w:t xml:space="preserve">, ed. D. Lyon (Devon: </w:t>
      </w:r>
      <w:proofErr w:type="spellStart"/>
      <w:r w:rsidRPr="009F0023">
        <w:rPr>
          <w:rFonts w:eastAsia="Times New Roman"/>
          <w:sz w:val="20"/>
          <w:szCs w:val="20"/>
          <w:lang w:val="en-US"/>
        </w:rPr>
        <w:t>Willan</w:t>
      </w:r>
      <w:proofErr w:type="spellEnd"/>
      <w:r w:rsidRPr="009F0023">
        <w:rPr>
          <w:rFonts w:eastAsia="Times New Roman"/>
          <w:sz w:val="20"/>
          <w:szCs w:val="20"/>
          <w:lang w:val="en-US"/>
        </w:rPr>
        <w:t xml:space="preserve"> Publishing, 2006), p. 73.</w:t>
      </w:r>
    </w:p>
  </w:footnote>
  <w:footnote w:id="59">
    <w:p w:rsidR="0081308D" w:rsidRPr="00691138" w:rsidRDefault="0081308D" w:rsidP="003B74EA">
      <w:pPr>
        <w:pStyle w:val="FootnoteText"/>
      </w:pPr>
      <w:r>
        <w:rPr>
          <w:rStyle w:val="FootnoteReference"/>
        </w:rPr>
        <w:footnoteRef/>
      </w:r>
      <w:r>
        <w:t xml:space="preserve"> </w:t>
      </w:r>
      <w:r w:rsidRPr="00691138">
        <w:t xml:space="preserve">See </w:t>
      </w:r>
      <w:hyperlink r:id="rId21" w:history="1">
        <w:r w:rsidRPr="002B0431">
          <w:rPr>
            <w:rStyle w:val="Hyperlink"/>
          </w:rPr>
          <w:t>http://bit.ly/11ytGVC</w:t>
        </w:r>
      </w:hyperlink>
      <w:r>
        <w:t xml:space="preserve">, </w:t>
      </w:r>
      <w:r w:rsidRPr="00691138">
        <w:t xml:space="preserve">last seen </w:t>
      </w:r>
      <w:r>
        <w:t>November 29</w:t>
      </w:r>
      <w:r>
        <w:rPr>
          <w:vertAlign w:val="superscript"/>
        </w:rPr>
        <w:t>th</w:t>
      </w:r>
      <w:r w:rsidRPr="00691138">
        <w:t>, 2012</w:t>
      </w:r>
      <w:r>
        <w:t>.</w:t>
      </w:r>
    </w:p>
  </w:footnote>
  <w:footnote w:id="60">
    <w:p w:rsidR="0081308D" w:rsidRPr="00BA6849" w:rsidRDefault="0081308D">
      <w:pPr>
        <w:pStyle w:val="FootnoteText"/>
      </w:pPr>
      <w:r>
        <w:rPr>
          <w:rStyle w:val="FootnoteReference"/>
        </w:rPr>
        <w:footnoteRef/>
      </w:r>
      <w:r>
        <w:t xml:space="preserve"> Lawrence </w:t>
      </w:r>
      <w:proofErr w:type="spellStart"/>
      <w:r>
        <w:t>Lessig</w:t>
      </w:r>
      <w:proofErr w:type="spellEnd"/>
      <w:r>
        <w:t xml:space="preserve">, </w:t>
      </w:r>
      <w:r>
        <w:rPr>
          <w:i/>
        </w:rPr>
        <w:t>Code and Other Laws of Cyberspace</w:t>
      </w:r>
      <w:r>
        <w:t>,  (Basic Books, New York 1999), p. 4.</w:t>
      </w:r>
    </w:p>
  </w:footnote>
  <w:footnote w:id="61">
    <w:p w:rsidR="0081308D" w:rsidRPr="007467D0" w:rsidRDefault="0081308D" w:rsidP="001707E7">
      <w:pPr>
        <w:pStyle w:val="FootnoteText"/>
      </w:pPr>
      <w:r>
        <w:rPr>
          <w:rStyle w:val="FootnoteReference"/>
        </w:rPr>
        <w:footnoteRef/>
      </w:r>
      <w:r>
        <w:t xml:space="preserve"> See </w:t>
      </w:r>
      <w:hyperlink r:id="rId22" w:history="1">
        <w:r w:rsidRPr="00842397">
          <w:rPr>
            <w:rStyle w:val="Hyperlink"/>
          </w:rPr>
          <w:t>http://bit.ly/w0wg0K</w:t>
        </w:r>
      </w:hyperlink>
      <w:r>
        <w:t>, last seen August 17</w:t>
      </w:r>
      <w:r>
        <w:rPr>
          <w:vertAlign w:val="superscript"/>
        </w:rPr>
        <w:t>th</w:t>
      </w:r>
      <w:r>
        <w:t xml:space="preserve">, 2012. </w:t>
      </w:r>
    </w:p>
  </w:footnote>
  <w:footnote w:id="62">
    <w:p w:rsidR="0081308D" w:rsidRPr="009F0023" w:rsidRDefault="0081308D" w:rsidP="006E7E69">
      <w:pPr>
        <w:pStyle w:val="FootnoteText"/>
      </w:pPr>
      <w:r>
        <w:rPr>
          <w:rStyle w:val="FootnoteReference"/>
        </w:rPr>
        <w:footnoteRef/>
      </w:r>
      <w:r>
        <w:t xml:space="preserve"> See </w:t>
      </w:r>
      <w:hyperlink r:id="rId23" w:history="1">
        <w:r w:rsidRPr="004345CE">
          <w:rPr>
            <w:rStyle w:val="Hyperlink"/>
          </w:rPr>
          <w:t>http://www.uitzendinggemist.nl/afleveringen/1243625</w:t>
        </w:r>
      </w:hyperlink>
      <w:r>
        <w:t xml:space="preserve">, between </w:t>
      </w:r>
      <w:r w:rsidRPr="004345CE">
        <w:t xml:space="preserve">20:20 </w:t>
      </w:r>
      <w:r>
        <w:t>and</w:t>
      </w:r>
      <w:r w:rsidRPr="004345CE">
        <w:t xml:space="preserve"> 21:40</w:t>
      </w:r>
      <w:r>
        <w:t>, last seen January 20</w:t>
      </w:r>
      <w:r>
        <w:rPr>
          <w:vertAlign w:val="superscript"/>
        </w:rPr>
        <w:t>th</w:t>
      </w:r>
      <w:r>
        <w:t>, 2013.</w:t>
      </w:r>
    </w:p>
  </w:footnote>
  <w:footnote w:id="63">
    <w:p w:rsidR="0081308D" w:rsidRPr="009F0023" w:rsidRDefault="0081308D" w:rsidP="002A3105">
      <w:pPr>
        <w:pStyle w:val="FootnoteText"/>
      </w:pPr>
      <w:r>
        <w:rPr>
          <w:rStyle w:val="FootnoteReference"/>
        </w:rPr>
        <w:footnoteRef/>
      </w:r>
      <w:r>
        <w:t xml:space="preserve"> </w:t>
      </w:r>
      <w:r w:rsidRPr="009F0023">
        <w:t xml:space="preserve">See </w:t>
      </w:r>
      <w:hyperlink r:id="rId24" w:history="1">
        <w:r w:rsidRPr="009F0023">
          <w:rPr>
            <w:rStyle w:val="Hyperlink"/>
          </w:rPr>
          <w:t>http://bit.ly/VeLZf2</w:t>
        </w:r>
      </w:hyperlink>
      <w:r w:rsidRPr="009F0023">
        <w:t>, p. 1 of the report, last seen January 25</w:t>
      </w:r>
      <w:r w:rsidRPr="009F0023">
        <w:rPr>
          <w:vertAlign w:val="superscript"/>
        </w:rPr>
        <w:t>th</w:t>
      </w:r>
      <w:r w:rsidRPr="009F0023">
        <w:t>, 2013.</w:t>
      </w:r>
    </w:p>
  </w:footnote>
  <w:footnote w:id="64">
    <w:p w:rsidR="0081308D" w:rsidRPr="00FE2341" w:rsidRDefault="0081308D" w:rsidP="006F5981">
      <w:pPr>
        <w:pStyle w:val="FootnoteText"/>
      </w:pPr>
      <w:r>
        <w:rPr>
          <w:rStyle w:val="FootnoteReference"/>
        </w:rPr>
        <w:footnoteRef/>
      </w:r>
      <w:r>
        <w:t xml:space="preserve"> See </w:t>
      </w:r>
      <w:hyperlink r:id="rId25" w:history="1">
        <w:r w:rsidRPr="00842397">
          <w:rPr>
            <w:rStyle w:val="Hyperlink"/>
          </w:rPr>
          <w:t>http://www.eu2007.de/en/News/Press_Releases/May/0521BMI.html</w:t>
        </w:r>
      </w:hyperlink>
      <w:r>
        <w:t>, last seen August 17</w:t>
      </w:r>
      <w:r>
        <w:rPr>
          <w:vertAlign w:val="superscript"/>
        </w:rPr>
        <w:t>th</w:t>
      </w:r>
      <w:r>
        <w:t>, 2012.</w:t>
      </w:r>
    </w:p>
  </w:footnote>
  <w:footnote w:id="65">
    <w:p w:rsidR="0081308D" w:rsidRPr="00782DC6" w:rsidRDefault="0081308D" w:rsidP="001E4EFF">
      <w:pPr>
        <w:pStyle w:val="FootnoteText"/>
      </w:pPr>
      <w:r>
        <w:rPr>
          <w:rStyle w:val="FootnoteReference"/>
        </w:rPr>
        <w:footnoteRef/>
      </w:r>
      <w:r>
        <w:t xml:space="preserve"> </w:t>
      </w:r>
      <w:r w:rsidRPr="00B86F6E">
        <w:t xml:space="preserve">PUBLIC SECURITY AND TECHNOLOGY IN </w:t>
      </w:r>
      <w:smartTag w:uri="urn:schemas-microsoft-com:office:smarttags" w:element="place">
        <w:r w:rsidRPr="00B86F6E">
          <w:t>EUROPE</w:t>
        </w:r>
      </w:smartTag>
      <w:r w:rsidRPr="00B86F6E">
        <w:t>: MOVING FORWARD, Concept paper on the European strategy to transform Public security organizations in a Connected World</w:t>
      </w:r>
      <w:r>
        <w:t xml:space="preserve">, p. 8. See </w:t>
      </w:r>
      <w:hyperlink r:id="rId26" w:history="1">
        <w:r w:rsidRPr="00842397">
          <w:rPr>
            <w:rStyle w:val="Hyperlink"/>
          </w:rPr>
          <w:t>http://bit.ly/PqvWIJ</w:t>
        </w:r>
      </w:hyperlink>
      <w:r>
        <w:t>, last seen August 17</w:t>
      </w:r>
      <w:r>
        <w:rPr>
          <w:vertAlign w:val="superscript"/>
        </w:rPr>
        <w:t>th</w:t>
      </w:r>
      <w:r>
        <w:t>, 2012.</w:t>
      </w:r>
    </w:p>
  </w:footnote>
  <w:footnote w:id="66">
    <w:p w:rsidR="0081308D" w:rsidRPr="002A3105" w:rsidRDefault="0081308D" w:rsidP="00A83A59">
      <w:pPr>
        <w:pStyle w:val="FootnoteText"/>
      </w:pPr>
      <w:r>
        <w:rPr>
          <w:rStyle w:val="FootnoteReference"/>
        </w:rPr>
        <w:footnoteRef/>
      </w:r>
      <w:r>
        <w:t xml:space="preserve"> See </w:t>
      </w:r>
      <w:hyperlink r:id="rId27" w:history="1">
        <w:r w:rsidRPr="00445A07">
          <w:rPr>
            <w:rStyle w:val="Hyperlink"/>
          </w:rPr>
          <w:t>http://cas.okstate.edu/jb/faculty/senat/jb3163/infoprivacy.html</w:t>
        </w:r>
      </w:hyperlink>
      <w:r>
        <w:t>, last seen January 25</w:t>
      </w:r>
      <w:r>
        <w:rPr>
          <w:vertAlign w:val="superscript"/>
        </w:rPr>
        <w:t>th</w:t>
      </w:r>
      <w:r>
        <w:t>, 2013.</w:t>
      </w:r>
    </w:p>
  </w:footnote>
  <w:footnote w:id="67">
    <w:p w:rsidR="0081308D" w:rsidRDefault="0081308D" w:rsidP="00A83A59">
      <w:pPr>
        <w:pStyle w:val="FootnoteText"/>
      </w:pPr>
      <w:r>
        <w:rPr>
          <w:rStyle w:val="FootnoteReference"/>
        </w:rPr>
        <w:footnoteRef/>
      </w:r>
      <w:r>
        <w:t xml:space="preserve"> See </w:t>
      </w:r>
      <w:hyperlink r:id="rId28" w:history="1">
        <w:r w:rsidRPr="00691138">
          <w:rPr>
            <w:rStyle w:val="Hyperlink"/>
          </w:rPr>
          <w:t>http://ec.europa.eu/justice/data-protection/index_en.htm</w:t>
        </w:r>
      </w:hyperlink>
      <w:r w:rsidRPr="00691138">
        <w:t xml:space="preserve">, </w:t>
      </w:r>
      <w:r>
        <w:t>last seen January 11</w:t>
      </w:r>
      <w:r>
        <w:rPr>
          <w:vertAlign w:val="superscript"/>
        </w:rPr>
        <w:t>th</w:t>
      </w:r>
      <w:r>
        <w:t xml:space="preserve">, 2013. </w:t>
      </w:r>
    </w:p>
  </w:footnote>
  <w:footnote w:id="68">
    <w:p w:rsidR="0081308D" w:rsidRPr="009F0023" w:rsidRDefault="0081308D" w:rsidP="00A83A59">
      <w:pPr>
        <w:pStyle w:val="FootnoteText"/>
      </w:pPr>
      <w:r>
        <w:rPr>
          <w:rStyle w:val="FootnoteReference"/>
        </w:rPr>
        <w:footnoteRef/>
      </w:r>
      <w:r w:rsidRPr="009F0023">
        <w:t xml:space="preserve"> Consideration 2 of the DPD.</w:t>
      </w:r>
    </w:p>
  </w:footnote>
  <w:footnote w:id="69">
    <w:p w:rsidR="0081308D" w:rsidRPr="00DF2EF4" w:rsidRDefault="0081308D" w:rsidP="00A83A59">
      <w:pPr>
        <w:pStyle w:val="FootnoteText"/>
      </w:pPr>
      <w:r>
        <w:rPr>
          <w:rStyle w:val="FootnoteReference"/>
        </w:rPr>
        <w:footnoteRef/>
      </w:r>
      <w:r>
        <w:t xml:space="preserve"> </w:t>
      </w:r>
      <w:r w:rsidRPr="00691138">
        <w:t xml:space="preserve">See </w:t>
      </w:r>
      <w:hyperlink r:id="rId29" w:history="1">
        <w:r w:rsidRPr="00691138">
          <w:rPr>
            <w:rStyle w:val="Hyperlink"/>
          </w:rPr>
          <w:t>http://ec.europa.eu/justice/data-protection/index_en.htm</w:t>
        </w:r>
      </w:hyperlink>
      <w:r w:rsidRPr="00691138">
        <w:t xml:space="preserve">, </w:t>
      </w:r>
      <w:r>
        <w:t>last seen January 11</w:t>
      </w:r>
      <w:r>
        <w:rPr>
          <w:vertAlign w:val="superscript"/>
        </w:rPr>
        <w:t>th</w:t>
      </w:r>
      <w:r>
        <w:t>, 2012.</w:t>
      </w:r>
    </w:p>
  </w:footnote>
  <w:footnote w:id="70">
    <w:p w:rsidR="0081308D" w:rsidRDefault="0081308D" w:rsidP="00A83A59">
      <w:pPr>
        <w:pStyle w:val="FootnoteText"/>
      </w:pPr>
      <w:r>
        <w:rPr>
          <w:rStyle w:val="FootnoteReference"/>
        </w:rPr>
        <w:footnoteRef/>
      </w:r>
      <w:r>
        <w:t xml:space="preserve"> For this article I leave the right to respect for family life, the home and correspondence outside of the scope. </w:t>
      </w:r>
    </w:p>
  </w:footnote>
  <w:footnote w:id="71">
    <w:p w:rsidR="0081308D" w:rsidRDefault="0081308D" w:rsidP="00A83A59">
      <w:pPr>
        <w:pStyle w:val="FootnoteText"/>
      </w:pPr>
      <w:r>
        <w:rPr>
          <w:rStyle w:val="FootnoteReference"/>
        </w:rPr>
        <w:footnoteRef/>
      </w:r>
      <w:r>
        <w:t xml:space="preserve"> Bentham, Jeremy. </w:t>
      </w:r>
      <w:hyperlink r:id="rId30" w:history="1">
        <w:proofErr w:type="spellStart"/>
        <w:r>
          <w:rPr>
            <w:rStyle w:val="Hyperlink"/>
            <w:i/>
            <w:iCs/>
          </w:rPr>
          <w:t>Panopticon</w:t>
        </w:r>
        <w:proofErr w:type="spellEnd"/>
        <w:r>
          <w:rPr>
            <w:rStyle w:val="Hyperlink"/>
            <w:i/>
            <w:iCs/>
          </w:rPr>
          <w:t xml:space="preserve"> (Preface)</w:t>
        </w:r>
      </w:hyperlink>
      <w:r>
        <w:t xml:space="preserve">. In </w:t>
      </w:r>
      <w:hyperlink r:id="rId31" w:tooltip="Miran Bozovic" w:history="1">
        <w:proofErr w:type="spellStart"/>
        <w:r>
          <w:rPr>
            <w:rStyle w:val="Hyperlink"/>
          </w:rPr>
          <w:t>Miran</w:t>
        </w:r>
        <w:proofErr w:type="spellEnd"/>
        <w:r>
          <w:rPr>
            <w:rStyle w:val="Hyperlink"/>
          </w:rPr>
          <w:t xml:space="preserve"> </w:t>
        </w:r>
        <w:proofErr w:type="spellStart"/>
        <w:r>
          <w:rPr>
            <w:rStyle w:val="Hyperlink"/>
          </w:rPr>
          <w:t>Bozovic</w:t>
        </w:r>
        <w:proofErr w:type="spellEnd"/>
      </w:hyperlink>
      <w:r>
        <w:t xml:space="preserve"> (ed.), </w:t>
      </w:r>
      <w:r>
        <w:rPr>
          <w:i/>
          <w:iCs/>
        </w:rPr>
        <w:t xml:space="preserve">The </w:t>
      </w:r>
      <w:proofErr w:type="spellStart"/>
      <w:r>
        <w:rPr>
          <w:i/>
          <w:iCs/>
        </w:rPr>
        <w:t>Panopticon</w:t>
      </w:r>
      <w:proofErr w:type="spellEnd"/>
      <w:r>
        <w:rPr>
          <w:i/>
          <w:iCs/>
        </w:rPr>
        <w:t xml:space="preserve"> Writings</w:t>
      </w:r>
      <w:r>
        <w:t>, London: Verso, 1995, p. 29-95.</w:t>
      </w:r>
    </w:p>
  </w:footnote>
  <w:footnote w:id="72">
    <w:p w:rsidR="0081308D" w:rsidRPr="00691138" w:rsidRDefault="0081308D" w:rsidP="00A83A59">
      <w:pPr>
        <w:pStyle w:val="FootnoteText"/>
      </w:pPr>
      <w:r>
        <w:rPr>
          <w:rStyle w:val="FootnoteReference"/>
        </w:rPr>
        <w:footnoteRef/>
      </w:r>
      <w:r>
        <w:t xml:space="preserve"> </w:t>
      </w:r>
      <w:r w:rsidRPr="00691138">
        <w:t xml:space="preserve">Kafka his books display what happens if this control is lost. </w:t>
      </w:r>
    </w:p>
  </w:footnote>
  <w:footnote w:id="73">
    <w:p w:rsidR="0081308D" w:rsidRPr="009F0023" w:rsidRDefault="0081308D" w:rsidP="004A2359">
      <w:pPr>
        <w:pStyle w:val="FootnoteText"/>
      </w:pPr>
      <w:r>
        <w:rPr>
          <w:rStyle w:val="FootnoteReference"/>
        </w:rPr>
        <w:footnoteRef/>
      </w:r>
      <w:r>
        <w:t xml:space="preserve"> </w:t>
      </w:r>
      <w:r w:rsidRPr="009C3378">
        <w:rPr>
          <w:lang w:val="en-GB"/>
        </w:rPr>
        <w:t xml:space="preserve">Cluster of European Research Projects on the Internet of Things, </w:t>
      </w:r>
      <w:r w:rsidRPr="009C3378">
        <w:rPr>
          <w:i/>
          <w:lang w:val="en-GB"/>
        </w:rPr>
        <w:t>Visions and Challenges for Realising the Internet of Things</w:t>
      </w:r>
      <w:r>
        <w:rPr>
          <w:lang w:val="en-GB"/>
        </w:rPr>
        <w:t>, March 2010, p 57.</w:t>
      </w:r>
    </w:p>
  </w:footnote>
  <w:footnote w:id="74">
    <w:p w:rsidR="0081308D" w:rsidRPr="009F0023" w:rsidRDefault="0081308D" w:rsidP="004A2359">
      <w:pPr>
        <w:pStyle w:val="FootnoteText"/>
      </w:pPr>
      <w:r>
        <w:rPr>
          <w:rStyle w:val="FootnoteReference"/>
        </w:rPr>
        <w:footnoteRef/>
      </w:r>
      <w:r>
        <w:t xml:space="preserve"> </w:t>
      </w:r>
      <w:r w:rsidRPr="009C3378">
        <w:rPr>
          <w:lang w:val="en-GB"/>
        </w:rPr>
        <w:t xml:space="preserve">Cluster of European Research Projects on the Internet of Things, </w:t>
      </w:r>
      <w:r w:rsidRPr="009C3378">
        <w:rPr>
          <w:i/>
          <w:lang w:val="en-GB"/>
        </w:rPr>
        <w:t>Visions and Challenges for Realising the Internet of Things</w:t>
      </w:r>
      <w:r>
        <w:rPr>
          <w:lang w:val="en-GB"/>
        </w:rPr>
        <w:t>, March 2010, p 57.</w:t>
      </w:r>
    </w:p>
  </w:footnote>
  <w:footnote w:id="75">
    <w:p w:rsidR="0081308D" w:rsidRPr="005B09E1" w:rsidRDefault="0081308D" w:rsidP="004A2359">
      <w:pPr>
        <w:pStyle w:val="FootnoteText"/>
      </w:pPr>
      <w:r>
        <w:rPr>
          <w:rStyle w:val="FootnoteReference"/>
        </w:rPr>
        <w:footnoteRef/>
      </w:r>
      <w:r>
        <w:t xml:space="preserve"> H. Arendt, </w:t>
      </w:r>
      <w:r>
        <w:rPr>
          <w:i/>
        </w:rPr>
        <w:t xml:space="preserve">Over </w:t>
      </w:r>
      <w:proofErr w:type="spellStart"/>
      <w:r>
        <w:rPr>
          <w:i/>
        </w:rPr>
        <w:t>geweld</w:t>
      </w:r>
      <w:proofErr w:type="spellEnd"/>
      <w:r>
        <w:rPr>
          <w:i/>
        </w:rPr>
        <w:t xml:space="preserve"> (On Violence)</w:t>
      </w:r>
      <w:r>
        <w:t>, Amsterdam: Atlas 2004, p. 110.</w:t>
      </w:r>
    </w:p>
  </w:footnote>
  <w:footnote w:id="76">
    <w:p w:rsidR="0081308D" w:rsidRPr="009F0023" w:rsidRDefault="0081308D">
      <w:pPr>
        <w:pStyle w:val="FootnoteText"/>
      </w:pPr>
      <w:r>
        <w:rPr>
          <w:rStyle w:val="FootnoteReference"/>
        </w:rPr>
        <w:footnoteRef/>
      </w:r>
      <w:r>
        <w:t xml:space="preserve"> Council Directive 95/46 (EC) on the protection of individuals with regard to the processing of personal data and on the free movement of such data [1995], OJ L 281/31.</w:t>
      </w:r>
    </w:p>
  </w:footnote>
  <w:footnote w:id="77">
    <w:p w:rsidR="0081308D" w:rsidRPr="009F0023" w:rsidRDefault="0081308D" w:rsidP="004A2359">
      <w:pPr>
        <w:pStyle w:val="FootnoteText"/>
      </w:pPr>
      <w:r>
        <w:rPr>
          <w:rStyle w:val="FootnoteReference"/>
        </w:rPr>
        <w:footnoteRef/>
      </w:r>
      <w:r>
        <w:t xml:space="preserve"> Article 6 (b) DPD.</w:t>
      </w:r>
    </w:p>
  </w:footnote>
  <w:footnote w:id="78">
    <w:p w:rsidR="0081308D" w:rsidRPr="009A340F" w:rsidRDefault="0081308D" w:rsidP="00E37E60">
      <w:pPr>
        <w:pStyle w:val="FootnoteText"/>
      </w:pPr>
      <w:r>
        <w:rPr>
          <w:rStyle w:val="FootnoteReference"/>
        </w:rPr>
        <w:footnoteRef/>
      </w:r>
      <w:r>
        <w:t xml:space="preserve"> Council Directive </w:t>
      </w:r>
      <w:r w:rsidRPr="009A340F">
        <w:t>200</w:t>
      </w:r>
      <w:r>
        <w:t>6</w:t>
      </w:r>
      <w:r w:rsidRPr="009A340F">
        <w:t>/24</w:t>
      </w:r>
      <w:r>
        <w:t xml:space="preserve"> (EC) on the </w:t>
      </w:r>
      <w:r w:rsidRPr="009A340F">
        <w:t>retention of data generated or processed in connection with the</w:t>
      </w:r>
      <w:r>
        <w:t xml:space="preserve"> </w:t>
      </w:r>
      <w:r w:rsidRPr="009A340F">
        <w:t>provision of publicly available communication services or public communication networks and amending Directive 2002/58/EC</w:t>
      </w:r>
      <w:r>
        <w:t>[</w:t>
      </w:r>
      <w:r w:rsidRPr="009A340F">
        <w:t>2006</w:t>
      </w:r>
      <w:r>
        <w:t xml:space="preserve">], OJ L </w:t>
      </w:r>
      <w:r w:rsidRPr="009A340F">
        <w:t>105/54.</w:t>
      </w:r>
    </w:p>
  </w:footnote>
  <w:footnote w:id="79">
    <w:p w:rsidR="0081308D" w:rsidRDefault="0081308D" w:rsidP="00842D82">
      <w:pPr>
        <w:pStyle w:val="FootnoteText"/>
      </w:pPr>
      <w:r>
        <w:rPr>
          <w:rStyle w:val="FootnoteReference"/>
        </w:rPr>
        <w:footnoteRef/>
      </w:r>
      <w:r>
        <w:t xml:space="preserve"> Art. 1 Directive </w:t>
      </w:r>
      <w:r w:rsidRPr="009A340F">
        <w:t>200</w:t>
      </w:r>
      <w:r>
        <w:t>6</w:t>
      </w:r>
      <w:r w:rsidRPr="009A340F">
        <w:t>/24</w:t>
      </w:r>
      <w:r>
        <w:t xml:space="preserve"> (EC).</w:t>
      </w:r>
    </w:p>
  </w:footnote>
  <w:footnote w:id="80">
    <w:p w:rsidR="0081308D" w:rsidRPr="009F0023" w:rsidRDefault="0081308D" w:rsidP="00E37E60">
      <w:pPr>
        <w:pStyle w:val="FootnoteText"/>
      </w:pPr>
      <w:r>
        <w:rPr>
          <w:rStyle w:val="FootnoteReference"/>
        </w:rPr>
        <w:footnoteRef/>
      </w:r>
      <w:r>
        <w:t xml:space="preserve"> </w:t>
      </w:r>
      <w:r w:rsidRPr="009F0023">
        <w:t xml:space="preserve">See </w:t>
      </w:r>
      <w:hyperlink r:id="rId32" w:history="1">
        <w:r w:rsidRPr="009F0023">
          <w:rPr>
            <w:rStyle w:val="Hyperlink"/>
          </w:rPr>
          <w:t>http://huff.to/Y14oMZ</w:t>
        </w:r>
      </w:hyperlink>
      <w:r w:rsidRPr="009F0023">
        <w:t>, last seen January 24</w:t>
      </w:r>
      <w:r w:rsidRPr="009F0023">
        <w:rPr>
          <w:vertAlign w:val="superscript"/>
        </w:rPr>
        <w:t>th</w:t>
      </w:r>
      <w:r w:rsidRPr="009F0023">
        <w:t>, 2013.</w:t>
      </w:r>
    </w:p>
  </w:footnote>
  <w:footnote w:id="81">
    <w:p w:rsidR="0081308D" w:rsidRDefault="0081308D">
      <w:pPr>
        <w:pStyle w:val="FootnoteText"/>
      </w:pPr>
      <w:r>
        <w:rPr>
          <w:rStyle w:val="FootnoteReference"/>
        </w:rPr>
        <w:footnoteRef/>
      </w:r>
      <w:r>
        <w:t xml:space="preserve"> Swami, p. 37.</w:t>
      </w:r>
    </w:p>
  </w:footnote>
  <w:footnote w:id="82">
    <w:p w:rsidR="0081308D" w:rsidRPr="009F0023" w:rsidRDefault="0081308D" w:rsidP="00E37E60">
      <w:pPr>
        <w:pStyle w:val="FootnoteText"/>
      </w:pPr>
      <w:r>
        <w:rPr>
          <w:rStyle w:val="FootnoteReference"/>
        </w:rPr>
        <w:footnoteRef/>
      </w:r>
      <w:r>
        <w:t xml:space="preserve"> </w:t>
      </w:r>
      <w:r w:rsidRPr="009A340F">
        <w:t>Commission Recommendation of 9 March 2012 on preparations for the roll-out of smart metering systems (2012/148/EU), [2012] OJ L 73/9, p. 11.</w:t>
      </w:r>
      <w:r>
        <w:t xml:space="preserve"> See </w:t>
      </w:r>
      <w:hyperlink r:id="rId33" w:history="1">
        <w:r w:rsidRPr="00700A12">
          <w:rPr>
            <w:rStyle w:val="Hyperlink"/>
          </w:rPr>
          <w:t>http://bit.ly/A0zXvf</w:t>
        </w:r>
      </w:hyperlink>
      <w:r>
        <w:t>, last seen January 24</w:t>
      </w:r>
      <w:r>
        <w:rPr>
          <w:vertAlign w:val="superscript"/>
        </w:rPr>
        <w:t>th</w:t>
      </w:r>
      <w:r>
        <w:t>, 2013.</w:t>
      </w:r>
    </w:p>
  </w:footnote>
  <w:footnote w:id="83">
    <w:p w:rsidR="0081308D" w:rsidRPr="009F0023" w:rsidRDefault="0081308D" w:rsidP="00E37E60">
      <w:pPr>
        <w:pStyle w:val="FootnoteText"/>
      </w:pPr>
      <w:r>
        <w:rPr>
          <w:rStyle w:val="FootnoteReference"/>
        </w:rPr>
        <w:footnoteRef/>
      </w:r>
      <w:r>
        <w:t xml:space="preserve"> Council Directive </w:t>
      </w:r>
      <w:r w:rsidRPr="009A340F">
        <w:t>200</w:t>
      </w:r>
      <w:r>
        <w:t>2</w:t>
      </w:r>
      <w:r w:rsidRPr="009A340F">
        <w:t>/</w:t>
      </w:r>
      <w:r>
        <w:t>58 (EC) concerning the processing of personal data and the protection of privacy in the electronic communications sector (Directive on privacy and electronic communications), OJ L 201/37</w:t>
      </w:r>
      <w:r w:rsidRPr="009A340F">
        <w:t>.</w:t>
      </w:r>
    </w:p>
  </w:footnote>
  <w:footnote w:id="84">
    <w:p w:rsidR="0081308D" w:rsidRPr="00BB27A2" w:rsidRDefault="0081308D" w:rsidP="00E37E60">
      <w:pPr>
        <w:pStyle w:val="FootnoteText"/>
      </w:pPr>
      <w:r>
        <w:rPr>
          <w:rStyle w:val="FootnoteReference"/>
        </w:rPr>
        <w:footnoteRef/>
      </w:r>
      <w:r>
        <w:t xml:space="preserve"> </w:t>
      </w:r>
      <w:r w:rsidRPr="00BB27A2">
        <w:t>See http://bit.ly/McWK9V, last seen August 18</w:t>
      </w:r>
      <w:r w:rsidRPr="00BB27A2">
        <w:rPr>
          <w:vertAlign w:val="superscript"/>
        </w:rPr>
        <w:t>th</w:t>
      </w:r>
      <w:r w:rsidRPr="00BB27A2">
        <w:t>, 2012.</w:t>
      </w:r>
    </w:p>
  </w:footnote>
  <w:footnote w:id="85">
    <w:p w:rsidR="0081308D" w:rsidRPr="009F0840" w:rsidRDefault="0081308D" w:rsidP="00E37E60">
      <w:pPr>
        <w:pStyle w:val="FootnoteText"/>
      </w:pPr>
      <w:r>
        <w:rPr>
          <w:rStyle w:val="FootnoteReference"/>
        </w:rPr>
        <w:footnoteRef/>
      </w:r>
      <w:r w:rsidRPr="009F0840">
        <w:t xml:space="preserve"> European Parliament resolution of 15 June 2010 on the Internet of Things, paragraph E.</w:t>
      </w:r>
    </w:p>
  </w:footnote>
  <w:footnote w:id="86">
    <w:p w:rsidR="0081308D" w:rsidRPr="009A340F" w:rsidRDefault="0081308D" w:rsidP="00E37E60">
      <w:pPr>
        <w:pStyle w:val="FootnoteText"/>
      </w:pPr>
      <w:r>
        <w:rPr>
          <w:rStyle w:val="FootnoteReference"/>
        </w:rPr>
        <w:footnoteRef/>
      </w:r>
      <w:r>
        <w:t xml:space="preserve"> </w:t>
      </w:r>
      <w:r w:rsidRPr="009A340F">
        <w:t xml:space="preserve">The World Market for Smart Home Energy Management Systems – 2012 edition, p. 3. See </w:t>
      </w:r>
      <w:hyperlink r:id="rId34" w:history="1">
        <w:r w:rsidRPr="009A340F">
          <w:rPr>
            <w:rStyle w:val="Hyperlink"/>
          </w:rPr>
          <w:t>http://bit.ly/PBEw7A</w:t>
        </w:r>
      </w:hyperlink>
      <w:r w:rsidRPr="009A340F">
        <w:t>, last seen August 18</w:t>
      </w:r>
      <w:r w:rsidRPr="009A340F">
        <w:rPr>
          <w:vertAlign w:val="superscript"/>
        </w:rPr>
        <w:t>th</w:t>
      </w:r>
      <w:r w:rsidRPr="009A340F">
        <w:t>, 2012.</w:t>
      </w:r>
    </w:p>
  </w:footnote>
  <w:footnote w:id="87">
    <w:p w:rsidR="0081308D" w:rsidRPr="00680570" w:rsidRDefault="0081308D" w:rsidP="00E37E60">
      <w:pPr>
        <w:autoSpaceDE w:val="0"/>
        <w:autoSpaceDN w:val="0"/>
        <w:adjustRightInd w:val="0"/>
        <w:spacing w:after="0" w:line="240" w:lineRule="auto"/>
        <w:rPr>
          <w:rFonts w:cs="BookAntiqua"/>
          <w:sz w:val="20"/>
          <w:szCs w:val="20"/>
          <w:lang w:val="en-US"/>
        </w:rPr>
      </w:pPr>
      <w:r>
        <w:rPr>
          <w:rStyle w:val="FootnoteReference"/>
        </w:rPr>
        <w:footnoteRef/>
      </w:r>
      <w:r w:rsidRPr="0076637D">
        <w:rPr>
          <w:lang w:val="en-US"/>
        </w:rPr>
        <w:t xml:space="preserve"> </w:t>
      </w:r>
      <w:r w:rsidRPr="00680570">
        <w:rPr>
          <w:rFonts w:cs="BookAntiqua"/>
          <w:sz w:val="20"/>
          <w:szCs w:val="20"/>
          <w:lang w:val="en-US"/>
        </w:rPr>
        <w:t xml:space="preserve">Mulligan, Deirdre K., Wang, </w:t>
      </w:r>
      <w:proofErr w:type="spellStart"/>
      <w:r>
        <w:rPr>
          <w:rFonts w:cs="BookAntiqua"/>
          <w:sz w:val="20"/>
          <w:szCs w:val="20"/>
          <w:lang w:val="en-US"/>
        </w:rPr>
        <w:t>Longhao</w:t>
      </w:r>
      <w:proofErr w:type="spellEnd"/>
      <w:r>
        <w:rPr>
          <w:rFonts w:cs="BookAntiqua"/>
          <w:sz w:val="20"/>
          <w:szCs w:val="20"/>
          <w:lang w:val="en-US"/>
        </w:rPr>
        <w:t>, and Burstein, Aaron J.</w:t>
      </w:r>
      <w:r w:rsidRPr="00680570">
        <w:rPr>
          <w:rFonts w:cs="BookAntiqua"/>
          <w:sz w:val="20"/>
          <w:szCs w:val="20"/>
          <w:lang w:val="en-US"/>
        </w:rPr>
        <w:t xml:space="preserve"> University of California,</w:t>
      </w:r>
    </w:p>
    <w:p w:rsidR="0081308D" w:rsidRPr="00680570" w:rsidRDefault="0081308D" w:rsidP="00E37E60">
      <w:pPr>
        <w:autoSpaceDE w:val="0"/>
        <w:autoSpaceDN w:val="0"/>
        <w:adjustRightInd w:val="0"/>
        <w:spacing w:after="0" w:line="240" w:lineRule="auto"/>
        <w:rPr>
          <w:rFonts w:cs="BookAntiqua"/>
          <w:sz w:val="20"/>
          <w:szCs w:val="20"/>
          <w:lang w:val="en-US"/>
        </w:rPr>
      </w:pPr>
      <w:r w:rsidRPr="00680570">
        <w:rPr>
          <w:rFonts w:cs="BookAntiqua"/>
          <w:sz w:val="20"/>
          <w:szCs w:val="20"/>
          <w:lang w:val="en-US"/>
        </w:rPr>
        <w:t xml:space="preserve">Berkeley. 2010. </w:t>
      </w:r>
      <w:r w:rsidRPr="00680570">
        <w:rPr>
          <w:rFonts w:cs="BookAntiqua-BoldItalic"/>
          <w:bCs/>
          <w:i/>
          <w:iCs/>
          <w:sz w:val="20"/>
          <w:szCs w:val="20"/>
          <w:lang w:val="en-US"/>
        </w:rPr>
        <w:t>Privacy in the Smart Grid: An Information Flow Analysis.</w:t>
      </w:r>
      <w:r w:rsidRPr="00680570">
        <w:rPr>
          <w:rFonts w:cs="BookAntiqua-BoldItalic"/>
          <w:b/>
          <w:bCs/>
          <w:i/>
          <w:iCs/>
          <w:sz w:val="20"/>
          <w:szCs w:val="20"/>
          <w:lang w:val="en-US"/>
        </w:rPr>
        <w:t xml:space="preserve"> </w:t>
      </w:r>
      <w:r w:rsidRPr="00680570">
        <w:rPr>
          <w:rFonts w:cs="BookAntiqua"/>
          <w:sz w:val="20"/>
          <w:szCs w:val="20"/>
          <w:lang w:val="en-US"/>
        </w:rPr>
        <w:t>California</w:t>
      </w:r>
    </w:p>
    <w:p w:rsidR="0081308D" w:rsidRPr="0076637D" w:rsidRDefault="0081308D" w:rsidP="00E37E60">
      <w:pPr>
        <w:pStyle w:val="FootnoteText"/>
      </w:pPr>
      <w:r w:rsidRPr="00680570">
        <w:rPr>
          <w:rFonts w:cs="BookAntiqua"/>
        </w:rPr>
        <w:t>Institute for Energy and En</w:t>
      </w:r>
      <w:r>
        <w:rPr>
          <w:rFonts w:cs="BookAntiqua"/>
        </w:rPr>
        <w:t>vironment. Final Project Report, p. 41.</w:t>
      </w:r>
    </w:p>
  </w:footnote>
  <w:footnote w:id="88">
    <w:p w:rsidR="0081308D" w:rsidRPr="00691138" w:rsidRDefault="0081308D" w:rsidP="00C51996">
      <w:pPr>
        <w:pStyle w:val="FootnoteText"/>
      </w:pPr>
      <w:r>
        <w:rPr>
          <w:rStyle w:val="FootnoteReference"/>
        </w:rPr>
        <w:footnoteRef/>
      </w:r>
      <w:r>
        <w:t xml:space="preserve"> Vincent </w:t>
      </w:r>
      <w:proofErr w:type="spellStart"/>
      <w:r>
        <w:t>Icke</w:t>
      </w:r>
      <w:proofErr w:type="spellEnd"/>
      <w:r>
        <w:t>, ‘</w:t>
      </w:r>
      <w:proofErr w:type="spellStart"/>
      <w:r>
        <w:t>Gullivers</w:t>
      </w:r>
      <w:proofErr w:type="spellEnd"/>
      <w:r>
        <w:t xml:space="preserve"> Web’, see </w:t>
      </w:r>
      <w:r w:rsidRPr="00C51996">
        <w:t>http://bit.ly/WiQZ3r</w:t>
      </w:r>
      <w:r>
        <w:t xml:space="preserve">, </w:t>
      </w:r>
      <w:r w:rsidRPr="00691138">
        <w:t>last seen January 10</w:t>
      </w:r>
      <w:r w:rsidRPr="00691138">
        <w:rPr>
          <w:vertAlign w:val="superscript"/>
        </w:rPr>
        <w:t>th</w:t>
      </w:r>
      <w:r w:rsidRPr="00691138">
        <w:t>, 2012.</w:t>
      </w:r>
    </w:p>
    <w:p w:rsidR="0081308D" w:rsidRPr="004D123E" w:rsidRDefault="0081308D" w:rsidP="00C51996">
      <w:pPr>
        <w:pStyle w:val="FootnoteText"/>
        <w:spacing w:after="100" w:afterAutospacing="1"/>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6D57"/>
    <w:multiLevelType w:val="hybridMultilevel"/>
    <w:tmpl w:val="FDE83E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AC42351"/>
    <w:multiLevelType w:val="hybridMultilevel"/>
    <w:tmpl w:val="6E204688"/>
    <w:lvl w:ilvl="0" w:tplc="C0A2A1D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D859D9"/>
    <w:multiLevelType w:val="hybridMultilevel"/>
    <w:tmpl w:val="40DEED4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7510B0D"/>
    <w:multiLevelType w:val="multilevel"/>
    <w:tmpl w:val="16344F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2B161C5D"/>
    <w:multiLevelType w:val="multilevel"/>
    <w:tmpl w:val="16344F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3A545E86"/>
    <w:multiLevelType w:val="hybridMultilevel"/>
    <w:tmpl w:val="29B4356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3EE5118C"/>
    <w:multiLevelType w:val="hybridMultilevel"/>
    <w:tmpl w:val="C70A45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49E642B9"/>
    <w:multiLevelType w:val="multilevel"/>
    <w:tmpl w:val="0E02D428"/>
    <w:lvl w:ilvl="0">
      <w:start w:val="2"/>
      <w:numFmt w:val="decimal"/>
      <w:lvlText w:val="%1"/>
      <w:lvlJc w:val="left"/>
      <w:pPr>
        <w:ind w:left="360" w:hanging="360"/>
      </w:pPr>
      <w:rPr>
        <w:rFonts w:hint="default"/>
      </w:rPr>
    </w:lvl>
    <w:lvl w:ilvl="1">
      <w:start w:val="1"/>
      <w:numFmt w:val="decimal"/>
      <w:lvlText w:val="%1.%2"/>
      <w:lvlJc w:val="left"/>
      <w:pPr>
        <w:ind w:left="2130" w:hanging="720"/>
      </w:pPr>
      <w:rPr>
        <w:rFonts w:hint="default"/>
      </w:rPr>
    </w:lvl>
    <w:lvl w:ilvl="2">
      <w:start w:val="1"/>
      <w:numFmt w:val="upperLetter"/>
      <w:lvlText w:val="%1.%2.%3"/>
      <w:lvlJc w:val="left"/>
      <w:pPr>
        <w:ind w:left="3540" w:hanging="720"/>
      </w:pPr>
      <w:rPr>
        <w:rFonts w:hint="default"/>
      </w:rPr>
    </w:lvl>
    <w:lvl w:ilvl="3">
      <w:start w:val="1"/>
      <w:numFmt w:val="decimal"/>
      <w:lvlText w:val="%1.%2.%3.%4"/>
      <w:lvlJc w:val="left"/>
      <w:pPr>
        <w:ind w:left="5310" w:hanging="108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8">
    <w:nsid w:val="593D358E"/>
    <w:multiLevelType w:val="hybridMultilevel"/>
    <w:tmpl w:val="B274A0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EE678F2"/>
    <w:multiLevelType w:val="hybridMultilevel"/>
    <w:tmpl w:val="61460F2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66AC2D58"/>
    <w:multiLevelType w:val="hybridMultilevel"/>
    <w:tmpl w:val="E954CD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41138B"/>
    <w:multiLevelType w:val="hybridMultilevel"/>
    <w:tmpl w:val="01603A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7656096E"/>
    <w:multiLevelType w:val="hybridMultilevel"/>
    <w:tmpl w:val="001A246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8"/>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6"/>
  </w:num>
  <w:num w:numId="6">
    <w:abstractNumId w:val="2"/>
  </w:num>
  <w:num w:numId="7">
    <w:abstractNumId w:val="5"/>
  </w:num>
  <w:num w:numId="8">
    <w:abstractNumId w:val="11"/>
  </w:num>
  <w:num w:numId="9">
    <w:abstractNumId w:val="4"/>
  </w:num>
  <w:num w:numId="10">
    <w:abstractNumId w:val="9"/>
  </w:num>
  <w:num w:numId="11">
    <w:abstractNumId w:val="0"/>
  </w:num>
  <w:num w:numId="12">
    <w:abstractNumId w:val="1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trackRevisions/>
  <w:defaultTabStop w:val="708"/>
  <w:hyphenationZone w:val="425"/>
  <w:characterSpacingControl w:val="doNotCompress"/>
  <w:footnotePr>
    <w:footnote w:id="-1"/>
    <w:footnote w:id="0"/>
  </w:footnotePr>
  <w:endnotePr>
    <w:endnote w:id="-1"/>
    <w:endnote w:id="0"/>
  </w:endnotePr>
  <w:compat/>
  <w:rsids>
    <w:rsidRoot w:val="007B57BD"/>
    <w:rsid w:val="00002BED"/>
    <w:rsid w:val="0000325B"/>
    <w:rsid w:val="000049F1"/>
    <w:rsid w:val="00007BBD"/>
    <w:rsid w:val="00010A94"/>
    <w:rsid w:val="00010C03"/>
    <w:rsid w:val="00010E3D"/>
    <w:rsid w:val="00010F56"/>
    <w:rsid w:val="000114C5"/>
    <w:rsid w:val="000130CC"/>
    <w:rsid w:val="000149F2"/>
    <w:rsid w:val="000172D1"/>
    <w:rsid w:val="00020395"/>
    <w:rsid w:val="0002447C"/>
    <w:rsid w:val="00024EAA"/>
    <w:rsid w:val="0002715C"/>
    <w:rsid w:val="000379F0"/>
    <w:rsid w:val="00045E6D"/>
    <w:rsid w:val="0005014E"/>
    <w:rsid w:val="000505A9"/>
    <w:rsid w:val="0007111E"/>
    <w:rsid w:val="00071F7A"/>
    <w:rsid w:val="0008329D"/>
    <w:rsid w:val="00084C49"/>
    <w:rsid w:val="000868C0"/>
    <w:rsid w:val="00087C73"/>
    <w:rsid w:val="00094D40"/>
    <w:rsid w:val="00097C39"/>
    <w:rsid w:val="000A36E5"/>
    <w:rsid w:val="000A65EA"/>
    <w:rsid w:val="000A7579"/>
    <w:rsid w:val="000D3404"/>
    <w:rsid w:val="000D61EC"/>
    <w:rsid w:val="000D78E2"/>
    <w:rsid w:val="000E031C"/>
    <w:rsid w:val="000E2AD4"/>
    <w:rsid w:val="000E2AF5"/>
    <w:rsid w:val="000E34A7"/>
    <w:rsid w:val="000E520E"/>
    <w:rsid w:val="000F0C22"/>
    <w:rsid w:val="000F7EE4"/>
    <w:rsid w:val="00102103"/>
    <w:rsid w:val="00107659"/>
    <w:rsid w:val="00114743"/>
    <w:rsid w:val="0013233A"/>
    <w:rsid w:val="0013498A"/>
    <w:rsid w:val="00134C15"/>
    <w:rsid w:val="00136277"/>
    <w:rsid w:val="00137A4F"/>
    <w:rsid w:val="00141BFC"/>
    <w:rsid w:val="00142057"/>
    <w:rsid w:val="00143FC4"/>
    <w:rsid w:val="0014420F"/>
    <w:rsid w:val="00144A47"/>
    <w:rsid w:val="00151281"/>
    <w:rsid w:val="001515D8"/>
    <w:rsid w:val="00155C73"/>
    <w:rsid w:val="0016251C"/>
    <w:rsid w:val="00165019"/>
    <w:rsid w:val="001707E7"/>
    <w:rsid w:val="00176258"/>
    <w:rsid w:val="00191AE0"/>
    <w:rsid w:val="001921E5"/>
    <w:rsid w:val="001969B5"/>
    <w:rsid w:val="001977EA"/>
    <w:rsid w:val="00197968"/>
    <w:rsid w:val="001A2442"/>
    <w:rsid w:val="001A3015"/>
    <w:rsid w:val="001A3ECD"/>
    <w:rsid w:val="001A4240"/>
    <w:rsid w:val="001A628F"/>
    <w:rsid w:val="001B0570"/>
    <w:rsid w:val="001B08AC"/>
    <w:rsid w:val="001B0D06"/>
    <w:rsid w:val="001B1574"/>
    <w:rsid w:val="001B369B"/>
    <w:rsid w:val="001B6EE3"/>
    <w:rsid w:val="001B7DB8"/>
    <w:rsid w:val="001C149A"/>
    <w:rsid w:val="001D0739"/>
    <w:rsid w:val="001E4324"/>
    <w:rsid w:val="001E4EFF"/>
    <w:rsid w:val="001E560B"/>
    <w:rsid w:val="001F032D"/>
    <w:rsid w:val="001F6DCF"/>
    <w:rsid w:val="00202D1F"/>
    <w:rsid w:val="00203AB3"/>
    <w:rsid w:val="00203B8E"/>
    <w:rsid w:val="0020622E"/>
    <w:rsid w:val="00211AB2"/>
    <w:rsid w:val="00215663"/>
    <w:rsid w:val="00217A85"/>
    <w:rsid w:val="00222622"/>
    <w:rsid w:val="00227F7F"/>
    <w:rsid w:val="002320AF"/>
    <w:rsid w:val="00232282"/>
    <w:rsid w:val="002340A9"/>
    <w:rsid w:val="00242E1E"/>
    <w:rsid w:val="0024750C"/>
    <w:rsid w:val="0025145E"/>
    <w:rsid w:val="00252058"/>
    <w:rsid w:val="00253812"/>
    <w:rsid w:val="00260DC9"/>
    <w:rsid w:val="002639E3"/>
    <w:rsid w:val="002657C2"/>
    <w:rsid w:val="00266889"/>
    <w:rsid w:val="00266B17"/>
    <w:rsid w:val="00266E21"/>
    <w:rsid w:val="00270E53"/>
    <w:rsid w:val="00270EAA"/>
    <w:rsid w:val="00276E15"/>
    <w:rsid w:val="0028379C"/>
    <w:rsid w:val="0028439A"/>
    <w:rsid w:val="00287448"/>
    <w:rsid w:val="002901C3"/>
    <w:rsid w:val="0029246D"/>
    <w:rsid w:val="00295190"/>
    <w:rsid w:val="00295439"/>
    <w:rsid w:val="00296E95"/>
    <w:rsid w:val="00297D52"/>
    <w:rsid w:val="002A1893"/>
    <w:rsid w:val="002A29F0"/>
    <w:rsid w:val="002A3105"/>
    <w:rsid w:val="002A3994"/>
    <w:rsid w:val="002A7EC1"/>
    <w:rsid w:val="002B036C"/>
    <w:rsid w:val="002B03EC"/>
    <w:rsid w:val="002B29B0"/>
    <w:rsid w:val="002B3C9B"/>
    <w:rsid w:val="002B6CA4"/>
    <w:rsid w:val="002C35AF"/>
    <w:rsid w:val="002C3706"/>
    <w:rsid w:val="002D1C1D"/>
    <w:rsid w:val="002D246D"/>
    <w:rsid w:val="002E0B3B"/>
    <w:rsid w:val="002F0871"/>
    <w:rsid w:val="002F256B"/>
    <w:rsid w:val="002F75B9"/>
    <w:rsid w:val="00300F56"/>
    <w:rsid w:val="003056F4"/>
    <w:rsid w:val="003125BA"/>
    <w:rsid w:val="003149AF"/>
    <w:rsid w:val="00325056"/>
    <w:rsid w:val="003279B1"/>
    <w:rsid w:val="00330744"/>
    <w:rsid w:val="00331B43"/>
    <w:rsid w:val="00335984"/>
    <w:rsid w:val="00340820"/>
    <w:rsid w:val="00340F04"/>
    <w:rsid w:val="00341807"/>
    <w:rsid w:val="0034459F"/>
    <w:rsid w:val="0034657E"/>
    <w:rsid w:val="00347DD4"/>
    <w:rsid w:val="003507E0"/>
    <w:rsid w:val="003530A3"/>
    <w:rsid w:val="00353851"/>
    <w:rsid w:val="00353AF3"/>
    <w:rsid w:val="00357CC2"/>
    <w:rsid w:val="00363D46"/>
    <w:rsid w:val="0036410A"/>
    <w:rsid w:val="003643FE"/>
    <w:rsid w:val="00367314"/>
    <w:rsid w:val="00367FD0"/>
    <w:rsid w:val="00374A3A"/>
    <w:rsid w:val="00375397"/>
    <w:rsid w:val="003800E3"/>
    <w:rsid w:val="00382764"/>
    <w:rsid w:val="00385D1B"/>
    <w:rsid w:val="00386EAE"/>
    <w:rsid w:val="003913A2"/>
    <w:rsid w:val="00394984"/>
    <w:rsid w:val="0039651C"/>
    <w:rsid w:val="00397081"/>
    <w:rsid w:val="003A4E74"/>
    <w:rsid w:val="003A7F4A"/>
    <w:rsid w:val="003B15EE"/>
    <w:rsid w:val="003B4051"/>
    <w:rsid w:val="003B406F"/>
    <w:rsid w:val="003B4CC3"/>
    <w:rsid w:val="003B6D56"/>
    <w:rsid w:val="003B6F5E"/>
    <w:rsid w:val="003B74EA"/>
    <w:rsid w:val="003B7D0C"/>
    <w:rsid w:val="003C5932"/>
    <w:rsid w:val="003D093D"/>
    <w:rsid w:val="003D7774"/>
    <w:rsid w:val="003E0E14"/>
    <w:rsid w:val="003E7434"/>
    <w:rsid w:val="003E7D19"/>
    <w:rsid w:val="003F17D1"/>
    <w:rsid w:val="003F67C8"/>
    <w:rsid w:val="003F69DA"/>
    <w:rsid w:val="003F6F4B"/>
    <w:rsid w:val="00407E48"/>
    <w:rsid w:val="00410F1B"/>
    <w:rsid w:val="0041138D"/>
    <w:rsid w:val="004113D7"/>
    <w:rsid w:val="0041644B"/>
    <w:rsid w:val="004265F2"/>
    <w:rsid w:val="004334A9"/>
    <w:rsid w:val="004345CE"/>
    <w:rsid w:val="004412A7"/>
    <w:rsid w:val="00446E30"/>
    <w:rsid w:val="00447D15"/>
    <w:rsid w:val="00450F93"/>
    <w:rsid w:val="004530FA"/>
    <w:rsid w:val="00455672"/>
    <w:rsid w:val="00456C78"/>
    <w:rsid w:val="004643BB"/>
    <w:rsid w:val="004647BF"/>
    <w:rsid w:val="00464FC0"/>
    <w:rsid w:val="004663ED"/>
    <w:rsid w:val="00466B00"/>
    <w:rsid w:val="00471A86"/>
    <w:rsid w:val="0047691B"/>
    <w:rsid w:val="00480586"/>
    <w:rsid w:val="00482CBD"/>
    <w:rsid w:val="004836B2"/>
    <w:rsid w:val="00483733"/>
    <w:rsid w:val="0048594A"/>
    <w:rsid w:val="00486B0A"/>
    <w:rsid w:val="0049609E"/>
    <w:rsid w:val="00496B6F"/>
    <w:rsid w:val="004A1396"/>
    <w:rsid w:val="004A2359"/>
    <w:rsid w:val="004A5843"/>
    <w:rsid w:val="004B22D8"/>
    <w:rsid w:val="004B6C82"/>
    <w:rsid w:val="004C038B"/>
    <w:rsid w:val="004C0D93"/>
    <w:rsid w:val="004C256D"/>
    <w:rsid w:val="004C6D77"/>
    <w:rsid w:val="004C7905"/>
    <w:rsid w:val="004D123E"/>
    <w:rsid w:val="004D1DDC"/>
    <w:rsid w:val="004D2FF3"/>
    <w:rsid w:val="004D330F"/>
    <w:rsid w:val="004D3840"/>
    <w:rsid w:val="004E625A"/>
    <w:rsid w:val="004F2193"/>
    <w:rsid w:val="004F4655"/>
    <w:rsid w:val="00501CAD"/>
    <w:rsid w:val="00502BE9"/>
    <w:rsid w:val="0050492F"/>
    <w:rsid w:val="00505FB2"/>
    <w:rsid w:val="005147C5"/>
    <w:rsid w:val="00514E76"/>
    <w:rsid w:val="00517D2B"/>
    <w:rsid w:val="00521BF9"/>
    <w:rsid w:val="0052781F"/>
    <w:rsid w:val="00532DD1"/>
    <w:rsid w:val="0053578F"/>
    <w:rsid w:val="0054505D"/>
    <w:rsid w:val="005526DB"/>
    <w:rsid w:val="00554408"/>
    <w:rsid w:val="00557C2F"/>
    <w:rsid w:val="00560714"/>
    <w:rsid w:val="00567659"/>
    <w:rsid w:val="00576B98"/>
    <w:rsid w:val="00584408"/>
    <w:rsid w:val="005923CF"/>
    <w:rsid w:val="00595D5A"/>
    <w:rsid w:val="005A3E5F"/>
    <w:rsid w:val="005A45D7"/>
    <w:rsid w:val="005A7BC7"/>
    <w:rsid w:val="005B09E1"/>
    <w:rsid w:val="005B5C52"/>
    <w:rsid w:val="005B5EDB"/>
    <w:rsid w:val="005B6DFE"/>
    <w:rsid w:val="005C03A7"/>
    <w:rsid w:val="005C09B0"/>
    <w:rsid w:val="005C17C6"/>
    <w:rsid w:val="005D2807"/>
    <w:rsid w:val="005D5414"/>
    <w:rsid w:val="005D6582"/>
    <w:rsid w:val="005E2B03"/>
    <w:rsid w:val="005E39D9"/>
    <w:rsid w:val="005E4EAB"/>
    <w:rsid w:val="005E51A8"/>
    <w:rsid w:val="005E62ED"/>
    <w:rsid w:val="005F3E80"/>
    <w:rsid w:val="005F6D47"/>
    <w:rsid w:val="00604317"/>
    <w:rsid w:val="00604F0A"/>
    <w:rsid w:val="00606C1F"/>
    <w:rsid w:val="00610D08"/>
    <w:rsid w:val="00612236"/>
    <w:rsid w:val="0061768F"/>
    <w:rsid w:val="00630398"/>
    <w:rsid w:val="006326DE"/>
    <w:rsid w:val="00632DFE"/>
    <w:rsid w:val="00634FFA"/>
    <w:rsid w:val="00640FBC"/>
    <w:rsid w:val="00642DB1"/>
    <w:rsid w:val="00644F52"/>
    <w:rsid w:val="00645673"/>
    <w:rsid w:val="00645B6D"/>
    <w:rsid w:val="0065029F"/>
    <w:rsid w:val="006612B2"/>
    <w:rsid w:val="006630E7"/>
    <w:rsid w:val="006665DB"/>
    <w:rsid w:val="0066703E"/>
    <w:rsid w:val="0066750D"/>
    <w:rsid w:val="00667C50"/>
    <w:rsid w:val="00670CBC"/>
    <w:rsid w:val="006712D8"/>
    <w:rsid w:val="0067494A"/>
    <w:rsid w:val="00675F53"/>
    <w:rsid w:val="00681000"/>
    <w:rsid w:val="00683914"/>
    <w:rsid w:val="00683F42"/>
    <w:rsid w:val="006856CF"/>
    <w:rsid w:val="006863A2"/>
    <w:rsid w:val="00687135"/>
    <w:rsid w:val="00687B7B"/>
    <w:rsid w:val="00691138"/>
    <w:rsid w:val="00694745"/>
    <w:rsid w:val="006975DA"/>
    <w:rsid w:val="006A5586"/>
    <w:rsid w:val="006B07AE"/>
    <w:rsid w:val="006B664E"/>
    <w:rsid w:val="006C33B1"/>
    <w:rsid w:val="006C61FD"/>
    <w:rsid w:val="006C72F5"/>
    <w:rsid w:val="006D61A3"/>
    <w:rsid w:val="006E0273"/>
    <w:rsid w:val="006E26EE"/>
    <w:rsid w:val="006E4EB9"/>
    <w:rsid w:val="006E7E69"/>
    <w:rsid w:val="006F2394"/>
    <w:rsid w:val="006F5981"/>
    <w:rsid w:val="006F7701"/>
    <w:rsid w:val="0071020B"/>
    <w:rsid w:val="00712193"/>
    <w:rsid w:val="00721299"/>
    <w:rsid w:val="007274B1"/>
    <w:rsid w:val="00742AED"/>
    <w:rsid w:val="007502D6"/>
    <w:rsid w:val="00753E36"/>
    <w:rsid w:val="007630A4"/>
    <w:rsid w:val="007703AF"/>
    <w:rsid w:val="00771843"/>
    <w:rsid w:val="00776BA5"/>
    <w:rsid w:val="00782687"/>
    <w:rsid w:val="00782ABE"/>
    <w:rsid w:val="00783500"/>
    <w:rsid w:val="00783FFF"/>
    <w:rsid w:val="007847DB"/>
    <w:rsid w:val="007A11B7"/>
    <w:rsid w:val="007A24E0"/>
    <w:rsid w:val="007A2589"/>
    <w:rsid w:val="007A29A0"/>
    <w:rsid w:val="007A41E5"/>
    <w:rsid w:val="007A47BD"/>
    <w:rsid w:val="007A5705"/>
    <w:rsid w:val="007B29F1"/>
    <w:rsid w:val="007B54F9"/>
    <w:rsid w:val="007B57BD"/>
    <w:rsid w:val="007B77FB"/>
    <w:rsid w:val="007C76B5"/>
    <w:rsid w:val="007D00F8"/>
    <w:rsid w:val="007D347A"/>
    <w:rsid w:val="007D4BF6"/>
    <w:rsid w:val="007D5C62"/>
    <w:rsid w:val="007D667E"/>
    <w:rsid w:val="007D6F30"/>
    <w:rsid w:val="007E0C0B"/>
    <w:rsid w:val="007E64FF"/>
    <w:rsid w:val="007F470A"/>
    <w:rsid w:val="007F5331"/>
    <w:rsid w:val="007F718F"/>
    <w:rsid w:val="00800BBE"/>
    <w:rsid w:val="00807C56"/>
    <w:rsid w:val="008103C6"/>
    <w:rsid w:val="0081308D"/>
    <w:rsid w:val="00813AA2"/>
    <w:rsid w:val="00815A13"/>
    <w:rsid w:val="008218C8"/>
    <w:rsid w:val="00836B9D"/>
    <w:rsid w:val="0083741C"/>
    <w:rsid w:val="0084201A"/>
    <w:rsid w:val="00842D7D"/>
    <w:rsid w:val="00842D82"/>
    <w:rsid w:val="00842F49"/>
    <w:rsid w:val="00854E4D"/>
    <w:rsid w:val="00855BE4"/>
    <w:rsid w:val="00860E39"/>
    <w:rsid w:val="00862232"/>
    <w:rsid w:val="008639CE"/>
    <w:rsid w:val="008671DA"/>
    <w:rsid w:val="008727F1"/>
    <w:rsid w:val="008732B7"/>
    <w:rsid w:val="008738AA"/>
    <w:rsid w:val="00876D21"/>
    <w:rsid w:val="008778F4"/>
    <w:rsid w:val="00877E0A"/>
    <w:rsid w:val="00880ECA"/>
    <w:rsid w:val="00884409"/>
    <w:rsid w:val="00887D45"/>
    <w:rsid w:val="00891A61"/>
    <w:rsid w:val="0089358C"/>
    <w:rsid w:val="00897F69"/>
    <w:rsid w:val="008A18DD"/>
    <w:rsid w:val="008A2B5D"/>
    <w:rsid w:val="008A4719"/>
    <w:rsid w:val="008B65BD"/>
    <w:rsid w:val="008C3A6B"/>
    <w:rsid w:val="008C6EFA"/>
    <w:rsid w:val="008D0303"/>
    <w:rsid w:val="008D0B0F"/>
    <w:rsid w:val="008D209B"/>
    <w:rsid w:val="008D72BE"/>
    <w:rsid w:val="008E1216"/>
    <w:rsid w:val="008E260A"/>
    <w:rsid w:val="008E3A0B"/>
    <w:rsid w:val="008F5FE2"/>
    <w:rsid w:val="0090176C"/>
    <w:rsid w:val="009017F6"/>
    <w:rsid w:val="00901C6C"/>
    <w:rsid w:val="00915FAC"/>
    <w:rsid w:val="009205A0"/>
    <w:rsid w:val="00923EF3"/>
    <w:rsid w:val="00924051"/>
    <w:rsid w:val="00925628"/>
    <w:rsid w:val="009305CB"/>
    <w:rsid w:val="00933DA0"/>
    <w:rsid w:val="009372A3"/>
    <w:rsid w:val="00937F42"/>
    <w:rsid w:val="00940EE7"/>
    <w:rsid w:val="0094205B"/>
    <w:rsid w:val="00947630"/>
    <w:rsid w:val="00950520"/>
    <w:rsid w:val="00952441"/>
    <w:rsid w:val="00952D8F"/>
    <w:rsid w:val="009545A2"/>
    <w:rsid w:val="00956276"/>
    <w:rsid w:val="00956B18"/>
    <w:rsid w:val="009611DE"/>
    <w:rsid w:val="00962002"/>
    <w:rsid w:val="00970D4C"/>
    <w:rsid w:val="009758FE"/>
    <w:rsid w:val="00985E7C"/>
    <w:rsid w:val="00993323"/>
    <w:rsid w:val="00993773"/>
    <w:rsid w:val="00995C2E"/>
    <w:rsid w:val="009975E7"/>
    <w:rsid w:val="009A15E8"/>
    <w:rsid w:val="009A3A18"/>
    <w:rsid w:val="009A56CF"/>
    <w:rsid w:val="009A65A2"/>
    <w:rsid w:val="009B25DF"/>
    <w:rsid w:val="009B3A4B"/>
    <w:rsid w:val="009B488E"/>
    <w:rsid w:val="009B4E60"/>
    <w:rsid w:val="009C03B0"/>
    <w:rsid w:val="009C6A43"/>
    <w:rsid w:val="009C6FE0"/>
    <w:rsid w:val="009D4B6E"/>
    <w:rsid w:val="009E12AA"/>
    <w:rsid w:val="009E5987"/>
    <w:rsid w:val="009E6E9B"/>
    <w:rsid w:val="009F0023"/>
    <w:rsid w:val="009F4139"/>
    <w:rsid w:val="009F606D"/>
    <w:rsid w:val="00A07BDF"/>
    <w:rsid w:val="00A12DCC"/>
    <w:rsid w:val="00A1477E"/>
    <w:rsid w:val="00A155E6"/>
    <w:rsid w:val="00A15C5E"/>
    <w:rsid w:val="00A16D38"/>
    <w:rsid w:val="00A200D3"/>
    <w:rsid w:val="00A20D3C"/>
    <w:rsid w:val="00A22C78"/>
    <w:rsid w:val="00A316E9"/>
    <w:rsid w:val="00A33641"/>
    <w:rsid w:val="00A35B27"/>
    <w:rsid w:val="00A40308"/>
    <w:rsid w:val="00A42576"/>
    <w:rsid w:val="00A43052"/>
    <w:rsid w:val="00A44ECA"/>
    <w:rsid w:val="00A47029"/>
    <w:rsid w:val="00A47188"/>
    <w:rsid w:val="00A5565D"/>
    <w:rsid w:val="00A56D5A"/>
    <w:rsid w:val="00A62070"/>
    <w:rsid w:val="00A62F60"/>
    <w:rsid w:val="00A64128"/>
    <w:rsid w:val="00A64AEE"/>
    <w:rsid w:val="00A65F64"/>
    <w:rsid w:val="00A6618F"/>
    <w:rsid w:val="00A706CB"/>
    <w:rsid w:val="00A741BA"/>
    <w:rsid w:val="00A8000E"/>
    <w:rsid w:val="00A8085E"/>
    <w:rsid w:val="00A80A3B"/>
    <w:rsid w:val="00A83A59"/>
    <w:rsid w:val="00A859F6"/>
    <w:rsid w:val="00A91B36"/>
    <w:rsid w:val="00A94A5D"/>
    <w:rsid w:val="00AA31EA"/>
    <w:rsid w:val="00AA6924"/>
    <w:rsid w:val="00AA797B"/>
    <w:rsid w:val="00AB2E70"/>
    <w:rsid w:val="00AB3515"/>
    <w:rsid w:val="00AB3AE1"/>
    <w:rsid w:val="00AB5FB1"/>
    <w:rsid w:val="00AC26B9"/>
    <w:rsid w:val="00AC42CC"/>
    <w:rsid w:val="00AC4309"/>
    <w:rsid w:val="00AC6875"/>
    <w:rsid w:val="00AE268F"/>
    <w:rsid w:val="00AE2DAA"/>
    <w:rsid w:val="00AF0C3E"/>
    <w:rsid w:val="00AF1C5D"/>
    <w:rsid w:val="00AF3D10"/>
    <w:rsid w:val="00AF4907"/>
    <w:rsid w:val="00AF590B"/>
    <w:rsid w:val="00B07490"/>
    <w:rsid w:val="00B07D54"/>
    <w:rsid w:val="00B2011B"/>
    <w:rsid w:val="00B21F13"/>
    <w:rsid w:val="00B228F8"/>
    <w:rsid w:val="00B25DC9"/>
    <w:rsid w:val="00B26123"/>
    <w:rsid w:val="00B32BFF"/>
    <w:rsid w:val="00B37E4B"/>
    <w:rsid w:val="00B429FC"/>
    <w:rsid w:val="00B4393D"/>
    <w:rsid w:val="00B44368"/>
    <w:rsid w:val="00B46862"/>
    <w:rsid w:val="00B46E9A"/>
    <w:rsid w:val="00B52CDC"/>
    <w:rsid w:val="00B538C7"/>
    <w:rsid w:val="00B54228"/>
    <w:rsid w:val="00B56764"/>
    <w:rsid w:val="00B56B57"/>
    <w:rsid w:val="00B643BF"/>
    <w:rsid w:val="00B67E95"/>
    <w:rsid w:val="00B733DF"/>
    <w:rsid w:val="00B73452"/>
    <w:rsid w:val="00B84B76"/>
    <w:rsid w:val="00B86476"/>
    <w:rsid w:val="00B86F6E"/>
    <w:rsid w:val="00B90C5B"/>
    <w:rsid w:val="00B93D2F"/>
    <w:rsid w:val="00B95814"/>
    <w:rsid w:val="00BA2551"/>
    <w:rsid w:val="00BA39E3"/>
    <w:rsid w:val="00BA45DE"/>
    <w:rsid w:val="00BA5B10"/>
    <w:rsid w:val="00BA6849"/>
    <w:rsid w:val="00BA726B"/>
    <w:rsid w:val="00BB7641"/>
    <w:rsid w:val="00BD06DD"/>
    <w:rsid w:val="00BD3CFD"/>
    <w:rsid w:val="00BE30F7"/>
    <w:rsid w:val="00BE7258"/>
    <w:rsid w:val="00BF6A1E"/>
    <w:rsid w:val="00C001E2"/>
    <w:rsid w:val="00C013F2"/>
    <w:rsid w:val="00C04363"/>
    <w:rsid w:val="00C07ADE"/>
    <w:rsid w:val="00C11867"/>
    <w:rsid w:val="00C175DE"/>
    <w:rsid w:val="00C21A40"/>
    <w:rsid w:val="00C43271"/>
    <w:rsid w:val="00C475D4"/>
    <w:rsid w:val="00C50565"/>
    <w:rsid w:val="00C5197C"/>
    <w:rsid w:val="00C51996"/>
    <w:rsid w:val="00C529E3"/>
    <w:rsid w:val="00C53779"/>
    <w:rsid w:val="00C57E61"/>
    <w:rsid w:val="00C60D69"/>
    <w:rsid w:val="00C64552"/>
    <w:rsid w:val="00C64913"/>
    <w:rsid w:val="00C67826"/>
    <w:rsid w:val="00C71000"/>
    <w:rsid w:val="00C72B06"/>
    <w:rsid w:val="00C77CCA"/>
    <w:rsid w:val="00C80FEC"/>
    <w:rsid w:val="00C82EED"/>
    <w:rsid w:val="00C83BB5"/>
    <w:rsid w:val="00C85D68"/>
    <w:rsid w:val="00C85F21"/>
    <w:rsid w:val="00C92625"/>
    <w:rsid w:val="00C9648F"/>
    <w:rsid w:val="00CA5A94"/>
    <w:rsid w:val="00CA7067"/>
    <w:rsid w:val="00CB4615"/>
    <w:rsid w:val="00CC123C"/>
    <w:rsid w:val="00CC1E80"/>
    <w:rsid w:val="00CC5CE8"/>
    <w:rsid w:val="00CD07AD"/>
    <w:rsid w:val="00CD0CA0"/>
    <w:rsid w:val="00CD1BAD"/>
    <w:rsid w:val="00CE083C"/>
    <w:rsid w:val="00CE4D89"/>
    <w:rsid w:val="00CE6A43"/>
    <w:rsid w:val="00CF543F"/>
    <w:rsid w:val="00CF6187"/>
    <w:rsid w:val="00CF6488"/>
    <w:rsid w:val="00CF7769"/>
    <w:rsid w:val="00CF7A0D"/>
    <w:rsid w:val="00CF7F6C"/>
    <w:rsid w:val="00D04ECA"/>
    <w:rsid w:val="00D06FD7"/>
    <w:rsid w:val="00D107A8"/>
    <w:rsid w:val="00D156B3"/>
    <w:rsid w:val="00D1585F"/>
    <w:rsid w:val="00D20CAC"/>
    <w:rsid w:val="00D27743"/>
    <w:rsid w:val="00D30782"/>
    <w:rsid w:val="00D344AB"/>
    <w:rsid w:val="00D424CD"/>
    <w:rsid w:val="00D441EA"/>
    <w:rsid w:val="00D4566C"/>
    <w:rsid w:val="00D517D2"/>
    <w:rsid w:val="00D51B59"/>
    <w:rsid w:val="00D56CEA"/>
    <w:rsid w:val="00D60E1C"/>
    <w:rsid w:val="00D61CD0"/>
    <w:rsid w:val="00D62E8B"/>
    <w:rsid w:val="00D72D8F"/>
    <w:rsid w:val="00D73B3D"/>
    <w:rsid w:val="00D97528"/>
    <w:rsid w:val="00DA2646"/>
    <w:rsid w:val="00DA58F5"/>
    <w:rsid w:val="00DB0A38"/>
    <w:rsid w:val="00DB2C41"/>
    <w:rsid w:val="00DB45FE"/>
    <w:rsid w:val="00DB5E5E"/>
    <w:rsid w:val="00DB6941"/>
    <w:rsid w:val="00DB6EDC"/>
    <w:rsid w:val="00DC0275"/>
    <w:rsid w:val="00DC374A"/>
    <w:rsid w:val="00DC4456"/>
    <w:rsid w:val="00DD0456"/>
    <w:rsid w:val="00DD18F0"/>
    <w:rsid w:val="00DD2C4D"/>
    <w:rsid w:val="00DD3A34"/>
    <w:rsid w:val="00DD6208"/>
    <w:rsid w:val="00DD7185"/>
    <w:rsid w:val="00DE66D7"/>
    <w:rsid w:val="00DF24E6"/>
    <w:rsid w:val="00DF266C"/>
    <w:rsid w:val="00DF2EF4"/>
    <w:rsid w:val="00DF6A81"/>
    <w:rsid w:val="00DF6FE0"/>
    <w:rsid w:val="00E03471"/>
    <w:rsid w:val="00E059E6"/>
    <w:rsid w:val="00E05BD8"/>
    <w:rsid w:val="00E069C5"/>
    <w:rsid w:val="00E15978"/>
    <w:rsid w:val="00E2157E"/>
    <w:rsid w:val="00E22959"/>
    <w:rsid w:val="00E232BA"/>
    <w:rsid w:val="00E259ED"/>
    <w:rsid w:val="00E34382"/>
    <w:rsid w:val="00E34A12"/>
    <w:rsid w:val="00E376E0"/>
    <w:rsid w:val="00E37E60"/>
    <w:rsid w:val="00E4125A"/>
    <w:rsid w:val="00E42260"/>
    <w:rsid w:val="00E520EB"/>
    <w:rsid w:val="00E524A4"/>
    <w:rsid w:val="00E52A0E"/>
    <w:rsid w:val="00E536B8"/>
    <w:rsid w:val="00E602DD"/>
    <w:rsid w:val="00E6193A"/>
    <w:rsid w:val="00E71AA4"/>
    <w:rsid w:val="00E762FB"/>
    <w:rsid w:val="00E7786F"/>
    <w:rsid w:val="00E77D51"/>
    <w:rsid w:val="00E800E9"/>
    <w:rsid w:val="00E81467"/>
    <w:rsid w:val="00E84280"/>
    <w:rsid w:val="00E87093"/>
    <w:rsid w:val="00E87165"/>
    <w:rsid w:val="00E875DE"/>
    <w:rsid w:val="00E87DD6"/>
    <w:rsid w:val="00E911C5"/>
    <w:rsid w:val="00E93BEF"/>
    <w:rsid w:val="00E95200"/>
    <w:rsid w:val="00E95E57"/>
    <w:rsid w:val="00EA3036"/>
    <w:rsid w:val="00EA4CCF"/>
    <w:rsid w:val="00EA576D"/>
    <w:rsid w:val="00EA7A53"/>
    <w:rsid w:val="00EB458F"/>
    <w:rsid w:val="00EB5839"/>
    <w:rsid w:val="00EB7AEE"/>
    <w:rsid w:val="00EC187C"/>
    <w:rsid w:val="00EC3154"/>
    <w:rsid w:val="00EC4892"/>
    <w:rsid w:val="00EC4925"/>
    <w:rsid w:val="00EC784A"/>
    <w:rsid w:val="00ED04C0"/>
    <w:rsid w:val="00ED33C4"/>
    <w:rsid w:val="00EE01FC"/>
    <w:rsid w:val="00EE1872"/>
    <w:rsid w:val="00EE1BE4"/>
    <w:rsid w:val="00EE2C16"/>
    <w:rsid w:val="00EE4574"/>
    <w:rsid w:val="00EE4C8D"/>
    <w:rsid w:val="00EF0ED5"/>
    <w:rsid w:val="00F01093"/>
    <w:rsid w:val="00F04C31"/>
    <w:rsid w:val="00F06413"/>
    <w:rsid w:val="00F078BA"/>
    <w:rsid w:val="00F1228F"/>
    <w:rsid w:val="00F15F77"/>
    <w:rsid w:val="00F20475"/>
    <w:rsid w:val="00F22776"/>
    <w:rsid w:val="00F26E26"/>
    <w:rsid w:val="00F26E97"/>
    <w:rsid w:val="00F30053"/>
    <w:rsid w:val="00F34F68"/>
    <w:rsid w:val="00F40489"/>
    <w:rsid w:val="00F45094"/>
    <w:rsid w:val="00F46019"/>
    <w:rsid w:val="00F47788"/>
    <w:rsid w:val="00F509E4"/>
    <w:rsid w:val="00F51423"/>
    <w:rsid w:val="00F53443"/>
    <w:rsid w:val="00F53CA2"/>
    <w:rsid w:val="00F56F49"/>
    <w:rsid w:val="00F6077B"/>
    <w:rsid w:val="00F60C6C"/>
    <w:rsid w:val="00F62371"/>
    <w:rsid w:val="00F702DD"/>
    <w:rsid w:val="00F712B1"/>
    <w:rsid w:val="00F7196B"/>
    <w:rsid w:val="00F83C53"/>
    <w:rsid w:val="00F86A32"/>
    <w:rsid w:val="00F86EE8"/>
    <w:rsid w:val="00F86EF1"/>
    <w:rsid w:val="00F95890"/>
    <w:rsid w:val="00F96CE5"/>
    <w:rsid w:val="00FA544C"/>
    <w:rsid w:val="00FB4AE9"/>
    <w:rsid w:val="00FB70CC"/>
    <w:rsid w:val="00FC1A0C"/>
    <w:rsid w:val="00FC621E"/>
    <w:rsid w:val="00FC7226"/>
    <w:rsid w:val="00FD3FD4"/>
    <w:rsid w:val="00FD46F4"/>
    <w:rsid w:val="00FD53FE"/>
    <w:rsid w:val="00FD794A"/>
    <w:rsid w:val="00FD7F5E"/>
    <w:rsid w:val="00FE1238"/>
    <w:rsid w:val="00FE2810"/>
    <w:rsid w:val="00FE2E6E"/>
    <w:rsid w:val="00FF42D5"/>
    <w:rsid w:val="00FF6C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565"/>
    <w:pPr>
      <w:spacing w:after="200" w:line="276" w:lineRule="auto"/>
    </w:pPr>
    <w:rPr>
      <w:sz w:val="22"/>
      <w:szCs w:val="22"/>
      <w:lang w:val="nl-NL"/>
    </w:rPr>
  </w:style>
  <w:style w:type="paragraph" w:styleId="Heading1">
    <w:name w:val="heading 1"/>
    <w:basedOn w:val="Normal"/>
    <w:next w:val="Normal"/>
    <w:link w:val="Heading1Char"/>
    <w:uiPriority w:val="9"/>
    <w:qFormat/>
    <w:rsid w:val="007B57B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94205B"/>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F7196B"/>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F7196B"/>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F7196B"/>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7BD"/>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94205B"/>
    <w:rPr>
      <w:rFonts w:ascii="Cambria" w:eastAsia="Times New Roman" w:hAnsi="Cambria" w:cs="Times New Roman"/>
      <w:b/>
      <w:bCs/>
      <w:i/>
      <w:iCs/>
      <w:sz w:val="28"/>
      <w:szCs w:val="28"/>
      <w:lang w:eastAsia="en-US"/>
    </w:rPr>
  </w:style>
  <w:style w:type="paragraph" w:styleId="EndnoteText">
    <w:name w:val="endnote text"/>
    <w:basedOn w:val="Normal"/>
    <w:link w:val="EndnoteTextChar"/>
    <w:uiPriority w:val="99"/>
    <w:unhideWhenUsed/>
    <w:rsid w:val="0094205B"/>
    <w:pPr>
      <w:spacing w:after="0" w:line="240" w:lineRule="auto"/>
    </w:pPr>
    <w:rPr>
      <w:sz w:val="20"/>
      <w:szCs w:val="20"/>
      <w:lang w:val="en-US"/>
    </w:rPr>
  </w:style>
  <w:style w:type="character" w:customStyle="1" w:styleId="EndnoteTextChar">
    <w:name w:val="Endnote Text Char"/>
    <w:basedOn w:val="DefaultParagraphFont"/>
    <w:link w:val="EndnoteText"/>
    <w:uiPriority w:val="99"/>
    <w:rsid w:val="0094205B"/>
    <w:rPr>
      <w:lang w:val="en-US" w:eastAsia="en-US"/>
    </w:rPr>
  </w:style>
  <w:style w:type="character" w:styleId="Hyperlink">
    <w:name w:val="Hyperlink"/>
    <w:basedOn w:val="DefaultParagraphFont"/>
    <w:uiPriority w:val="99"/>
    <w:unhideWhenUsed/>
    <w:rsid w:val="00357CC2"/>
    <w:rPr>
      <w:color w:val="0000FF"/>
      <w:u w:val="single"/>
    </w:rPr>
  </w:style>
  <w:style w:type="character" w:customStyle="1" w:styleId="Heading3Char">
    <w:name w:val="Heading 3 Char"/>
    <w:basedOn w:val="DefaultParagraphFont"/>
    <w:link w:val="Heading3"/>
    <w:uiPriority w:val="9"/>
    <w:rsid w:val="00F7196B"/>
    <w:rPr>
      <w:rFonts w:ascii="Cambria" w:eastAsia="Times New Roman" w:hAnsi="Cambria" w:cs="Times New Roman"/>
      <w:b/>
      <w:bCs/>
      <w:sz w:val="26"/>
      <w:szCs w:val="26"/>
      <w:lang w:eastAsia="en-US"/>
    </w:rPr>
  </w:style>
  <w:style w:type="character" w:customStyle="1" w:styleId="Heading4Char">
    <w:name w:val="Heading 4 Char"/>
    <w:basedOn w:val="DefaultParagraphFont"/>
    <w:link w:val="Heading4"/>
    <w:uiPriority w:val="9"/>
    <w:rsid w:val="00F7196B"/>
    <w:rPr>
      <w:rFonts w:ascii="Calibri" w:eastAsia="Times New Roman" w:hAnsi="Calibri" w:cs="Times New Roman"/>
      <w:b/>
      <w:bCs/>
      <w:sz w:val="28"/>
      <w:szCs w:val="28"/>
      <w:lang w:eastAsia="en-US"/>
    </w:rPr>
  </w:style>
  <w:style w:type="character" w:customStyle="1" w:styleId="Heading5Char">
    <w:name w:val="Heading 5 Char"/>
    <w:basedOn w:val="DefaultParagraphFont"/>
    <w:link w:val="Heading5"/>
    <w:uiPriority w:val="9"/>
    <w:rsid w:val="00F7196B"/>
    <w:rPr>
      <w:rFonts w:ascii="Calibri" w:eastAsia="Times New Roman" w:hAnsi="Calibri" w:cs="Times New Roman"/>
      <w:b/>
      <w:bCs/>
      <w:i/>
      <w:iCs/>
      <w:sz w:val="26"/>
      <w:szCs w:val="26"/>
      <w:lang w:eastAsia="en-US"/>
    </w:rPr>
  </w:style>
  <w:style w:type="paragraph" w:styleId="FootnoteText">
    <w:name w:val="footnote text"/>
    <w:basedOn w:val="Normal"/>
    <w:link w:val="FootnoteTextChar"/>
    <w:uiPriority w:val="99"/>
    <w:unhideWhenUsed/>
    <w:rsid w:val="00667C50"/>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667C50"/>
    <w:rPr>
      <w:lang w:val="en-US" w:eastAsia="en-US"/>
    </w:rPr>
  </w:style>
  <w:style w:type="character" w:styleId="FootnoteReference">
    <w:name w:val="footnote reference"/>
    <w:basedOn w:val="DefaultParagraphFont"/>
    <w:uiPriority w:val="99"/>
    <w:semiHidden/>
    <w:unhideWhenUsed/>
    <w:rsid w:val="00667C50"/>
    <w:rPr>
      <w:vertAlign w:val="superscript"/>
    </w:rPr>
  </w:style>
  <w:style w:type="character" w:styleId="EndnoteReference">
    <w:name w:val="endnote reference"/>
    <w:basedOn w:val="DefaultParagraphFont"/>
    <w:uiPriority w:val="99"/>
    <w:semiHidden/>
    <w:unhideWhenUsed/>
    <w:rsid w:val="00667C50"/>
    <w:rPr>
      <w:vertAlign w:val="superscript"/>
    </w:rPr>
  </w:style>
  <w:style w:type="character" w:styleId="FollowedHyperlink">
    <w:name w:val="FollowedHyperlink"/>
    <w:basedOn w:val="DefaultParagraphFont"/>
    <w:uiPriority w:val="99"/>
    <w:semiHidden/>
    <w:unhideWhenUsed/>
    <w:rsid w:val="0024750C"/>
    <w:rPr>
      <w:color w:val="800080"/>
      <w:u w:val="single"/>
    </w:rPr>
  </w:style>
  <w:style w:type="paragraph" w:styleId="BalloonText">
    <w:name w:val="Balloon Text"/>
    <w:basedOn w:val="Normal"/>
    <w:link w:val="BalloonTextChar"/>
    <w:uiPriority w:val="99"/>
    <w:semiHidden/>
    <w:unhideWhenUsed/>
    <w:rsid w:val="00CF64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488"/>
    <w:rPr>
      <w:rFonts w:ascii="Tahoma" w:hAnsi="Tahoma" w:cs="Tahoma"/>
      <w:sz w:val="16"/>
      <w:szCs w:val="16"/>
      <w:lang w:val="nl-NL"/>
    </w:rPr>
  </w:style>
  <w:style w:type="character" w:styleId="CommentReference">
    <w:name w:val="annotation reference"/>
    <w:basedOn w:val="DefaultParagraphFont"/>
    <w:uiPriority w:val="99"/>
    <w:semiHidden/>
    <w:unhideWhenUsed/>
    <w:rsid w:val="00644F52"/>
    <w:rPr>
      <w:sz w:val="16"/>
      <w:szCs w:val="16"/>
    </w:rPr>
  </w:style>
  <w:style w:type="paragraph" w:styleId="CommentText">
    <w:name w:val="annotation text"/>
    <w:basedOn w:val="Normal"/>
    <w:link w:val="CommentTextChar"/>
    <w:uiPriority w:val="99"/>
    <w:semiHidden/>
    <w:unhideWhenUsed/>
    <w:rsid w:val="00644F52"/>
    <w:rPr>
      <w:sz w:val="20"/>
      <w:szCs w:val="20"/>
    </w:rPr>
  </w:style>
  <w:style w:type="character" w:customStyle="1" w:styleId="CommentTextChar">
    <w:name w:val="Comment Text Char"/>
    <w:basedOn w:val="DefaultParagraphFont"/>
    <w:link w:val="CommentText"/>
    <w:uiPriority w:val="99"/>
    <w:semiHidden/>
    <w:rsid w:val="00644F52"/>
    <w:rPr>
      <w:lang w:val="nl-NL"/>
    </w:rPr>
  </w:style>
  <w:style w:type="paragraph" w:styleId="CommentSubject">
    <w:name w:val="annotation subject"/>
    <w:basedOn w:val="CommentText"/>
    <w:next w:val="CommentText"/>
    <w:link w:val="CommentSubjectChar"/>
    <w:uiPriority w:val="99"/>
    <w:semiHidden/>
    <w:unhideWhenUsed/>
    <w:rsid w:val="00644F52"/>
    <w:rPr>
      <w:b/>
      <w:bCs/>
    </w:rPr>
  </w:style>
  <w:style w:type="character" w:customStyle="1" w:styleId="CommentSubjectChar">
    <w:name w:val="Comment Subject Char"/>
    <w:basedOn w:val="CommentTextChar"/>
    <w:link w:val="CommentSubject"/>
    <w:uiPriority w:val="99"/>
    <w:semiHidden/>
    <w:rsid w:val="00644F52"/>
    <w:rPr>
      <w:b/>
      <w:bCs/>
    </w:rPr>
  </w:style>
  <w:style w:type="paragraph" w:styleId="ListParagraph">
    <w:name w:val="List Paragraph"/>
    <w:basedOn w:val="Normal"/>
    <w:uiPriority w:val="34"/>
    <w:qFormat/>
    <w:rsid w:val="00DD0456"/>
    <w:pPr>
      <w:spacing w:after="0" w:line="240" w:lineRule="auto"/>
      <w:ind w:left="720"/>
    </w:pPr>
    <w:rPr>
      <w:lang w:val="en-US"/>
    </w:rPr>
  </w:style>
  <w:style w:type="character" w:styleId="Strong">
    <w:name w:val="Strong"/>
    <w:uiPriority w:val="22"/>
    <w:qFormat/>
    <w:rsid w:val="00993773"/>
    <w:rPr>
      <w:b/>
      <w:bCs/>
    </w:rPr>
  </w:style>
  <w:style w:type="paragraph" w:styleId="TOCHeading">
    <w:name w:val="TOC Heading"/>
    <w:basedOn w:val="Heading1"/>
    <w:next w:val="Normal"/>
    <w:uiPriority w:val="39"/>
    <w:unhideWhenUsed/>
    <w:qFormat/>
    <w:rsid w:val="00353AF3"/>
    <w:pPr>
      <w:outlineLvl w:val="9"/>
    </w:pPr>
    <w:rPr>
      <w:lang w:val="en-US"/>
    </w:rPr>
  </w:style>
  <w:style w:type="paragraph" w:styleId="TOC1">
    <w:name w:val="toc 1"/>
    <w:basedOn w:val="Normal"/>
    <w:next w:val="Normal"/>
    <w:autoRedefine/>
    <w:uiPriority w:val="39"/>
    <w:unhideWhenUsed/>
    <w:rsid w:val="00353AF3"/>
  </w:style>
  <w:style w:type="paragraph" w:styleId="TOC2">
    <w:name w:val="toc 2"/>
    <w:basedOn w:val="Normal"/>
    <w:next w:val="Normal"/>
    <w:autoRedefine/>
    <w:uiPriority w:val="39"/>
    <w:unhideWhenUsed/>
    <w:rsid w:val="00353AF3"/>
    <w:pPr>
      <w:ind w:left="220"/>
    </w:pPr>
  </w:style>
  <w:style w:type="paragraph" w:styleId="TOC3">
    <w:name w:val="toc 3"/>
    <w:basedOn w:val="Normal"/>
    <w:next w:val="Normal"/>
    <w:autoRedefine/>
    <w:uiPriority w:val="39"/>
    <w:unhideWhenUsed/>
    <w:rsid w:val="00353AF3"/>
    <w:pPr>
      <w:ind w:left="440"/>
    </w:pPr>
  </w:style>
  <w:style w:type="paragraph" w:styleId="PlainText">
    <w:name w:val="Plain Text"/>
    <w:basedOn w:val="Normal"/>
    <w:link w:val="PlainTextChar"/>
    <w:uiPriority w:val="99"/>
    <w:unhideWhenUsed/>
    <w:rsid w:val="00D156B3"/>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D156B3"/>
    <w:rPr>
      <w:rFonts w:ascii="Consolas" w:hAnsi="Consolas"/>
      <w:sz w:val="21"/>
      <w:szCs w:val="21"/>
    </w:rPr>
  </w:style>
  <w:style w:type="paragraph" w:styleId="NormalWeb">
    <w:name w:val="Normal (Web)"/>
    <w:basedOn w:val="Normal"/>
    <w:uiPriority w:val="99"/>
    <w:semiHidden/>
    <w:unhideWhenUsed/>
    <w:rsid w:val="00211AB2"/>
    <w:pPr>
      <w:spacing w:before="100" w:beforeAutospacing="1" w:after="100" w:afterAutospacing="1" w:line="240" w:lineRule="auto"/>
    </w:pPr>
    <w:rPr>
      <w:rFonts w:ascii="Times New Roman" w:eastAsia="Times New Roman" w:hAnsi="Times New Roman"/>
      <w:sz w:val="24"/>
      <w:szCs w:val="24"/>
      <w:lang w:val="en-US"/>
    </w:rPr>
  </w:style>
  <w:style w:type="table" w:styleId="TableGrid">
    <w:name w:val="Table Grid"/>
    <w:basedOn w:val="TableNormal"/>
    <w:uiPriority w:val="59"/>
    <w:rsid w:val="00B538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9176724">
      <w:bodyDiv w:val="1"/>
      <w:marLeft w:val="0"/>
      <w:marRight w:val="0"/>
      <w:marTop w:val="0"/>
      <w:marBottom w:val="0"/>
      <w:divBdr>
        <w:top w:val="none" w:sz="0" w:space="0" w:color="auto"/>
        <w:left w:val="none" w:sz="0" w:space="0" w:color="auto"/>
        <w:bottom w:val="none" w:sz="0" w:space="0" w:color="auto"/>
        <w:right w:val="none" w:sz="0" w:space="0" w:color="auto"/>
      </w:divBdr>
    </w:div>
    <w:div w:id="647054616">
      <w:bodyDiv w:val="1"/>
      <w:marLeft w:val="0"/>
      <w:marRight w:val="0"/>
      <w:marTop w:val="0"/>
      <w:marBottom w:val="0"/>
      <w:divBdr>
        <w:top w:val="none" w:sz="0" w:space="0" w:color="auto"/>
        <w:left w:val="none" w:sz="0" w:space="0" w:color="auto"/>
        <w:bottom w:val="none" w:sz="0" w:space="0" w:color="auto"/>
        <w:right w:val="none" w:sz="0" w:space="0" w:color="auto"/>
      </w:divBdr>
    </w:div>
    <w:div w:id="1059934645">
      <w:bodyDiv w:val="1"/>
      <w:marLeft w:val="0"/>
      <w:marRight w:val="0"/>
      <w:marTop w:val="0"/>
      <w:marBottom w:val="0"/>
      <w:divBdr>
        <w:top w:val="none" w:sz="0" w:space="0" w:color="auto"/>
        <w:left w:val="none" w:sz="0" w:space="0" w:color="auto"/>
        <w:bottom w:val="none" w:sz="0" w:space="0" w:color="auto"/>
        <w:right w:val="none" w:sz="0" w:space="0" w:color="auto"/>
      </w:divBdr>
    </w:div>
    <w:div w:id="189465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cordis.europa.eu/fp7/understand_en.html" TargetMode="External"/><Relationship Id="rId13" Type="http://schemas.openxmlformats.org/officeDocument/2006/relationships/hyperlink" Target="http://cordis.europa.eu/fp7/ict/" TargetMode="External"/><Relationship Id="rId18" Type="http://schemas.openxmlformats.org/officeDocument/2006/relationships/hyperlink" Target="http://wlstorage.net/file/indect-deliverable-4-2009.pdf" TargetMode="External"/><Relationship Id="rId26" Type="http://schemas.openxmlformats.org/officeDocument/2006/relationships/hyperlink" Target="http://bit.ly/PqvWIJ" TargetMode="External"/><Relationship Id="rId3" Type="http://schemas.openxmlformats.org/officeDocument/2006/relationships/hyperlink" Target="http://bit.ly/XFaEXX" TargetMode="External"/><Relationship Id="rId21" Type="http://schemas.openxmlformats.org/officeDocument/2006/relationships/hyperlink" Target="http://bit.ly/11ytGVC" TargetMode="External"/><Relationship Id="rId34" Type="http://schemas.openxmlformats.org/officeDocument/2006/relationships/hyperlink" Target="http://bit.ly/PBEw7A" TargetMode="External"/><Relationship Id="rId7" Type="http://schemas.openxmlformats.org/officeDocument/2006/relationships/hyperlink" Target="http://www.rfidjournal.com/article/articleprint/3940/-1/1/" TargetMode="External"/><Relationship Id="rId12" Type="http://schemas.openxmlformats.org/officeDocument/2006/relationships/hyperlink" Target="http://www.ertico.com/heero" TargetMode="External"/><Relationship Id="rId17" Type="http://schemas.openxmlformats.org/officeDocument/2006/relationships/hyperlink" Target="http://ec.europa.eu/enterprise/policies/security/indect/index_en.htm" TargetMode="External"/><Relationship Id="rId25" Type="http://schemas.openxmlformats.org/officeDocument/2006/relationships/hyperlink" Target="http://www.eu2007.de/en/News/Press_Releases/May/0521BMI.html" TargetMode="External"/><Relationship Id="rId33" Type="http://schemas.openxmlformats.org/officeDocument/2006/relationships/hyperlink" Target="http://bit.ly/A0zXvf" TargetMode="External"/><Relationship Id="rId2" Type="http://schemas.openxmlformats.org/officeDocument/2006/relationships/hyperlink" Target="http://www.digitalarti.com/files/Digitalarti-5_UK-site-internet-MD.pdf" TargetMode="External"/><Relationship Id="rId16" Type="http://schemas.openxmlformats.org/officeDocument/2006/relationships/hyperlink" Target="http://bit.ly/WYHmDL" TargetMode="External"/><Relationship Id="rId20" Type="http://schemas.openxmlformats.org/officeDocument/2006/relationships/hyperlink" Target="http://www.sikharchives.com/?p=287" TargetMode="External"/><Relationship Id="rId29" Type="http://schemas.openxmlformats.org/officeDocument/2006/relationships/hyperlink" Target="http://ec.europa.eu/justice/data-protection/index_en.htm" TargetMode="External"/><Relationship Id="rId1" Type="http://schemas.openxmlformats.org/officeDocument/2006/relationships/hyperlink" Target="http://www.wired.com/beyond_the_beyond/2011/02/spime-watch-the-internet-of-things-a-window-to-our-future/" TargetMode="External"/><Relationship Id="rId6" Type="http://schemas.openxmlformats.org/officeDocument/2006/relationships/hyperlink" Target="http://www.rfidjournal.com/article/view/4986" TargetMode="External"/><Relationship Id="rId11" Type="http://schemas.openxmlformats.org/officeDocument/2006/relationships/hyperlink" Target="http://blogs.ec.europa.eu/neelie-kroes/ecall-using-ict-to-save-lives/" TargetMode="External"/><Relationship Id="rId24" Type="http://schemas.openxmlformats.org/officeDocument/2006/relationships/hyperlink" Target="http://bit.ly/VeLZf2" TargetMode="External"/><Relationship Id="rId32" Type="http://schemas.openxmlformats.org/officeDocument/2006/relationships/hyperlink" Target="http://huff.to/Y14oMZ" TargetMode="External"/><Relationship Id="rId5" Type="http://schemas.openxmlformats.org/officeDocument/2006/relationships/hyperlink" Target="http://europa.eu/rapid/press-release_SPEECH-06-597_en.htm?locale=fr" TargetMode="External"/><Relationship Id="rId15" Type="http://schemas.openxmlformats.org/officeDocument/2006/relationships/hyperlink" Target="http://www.arkko.com/publications/vitel_arkko.pdf" TargetMode="External"/><Relationship Id="rId23" Type="http://schemas.openxmlformats.org/officeDocument/2006/relationships/hyperlink" Target="http://www.uitzendinggemist.nl/afleveringen/1243625" TargetMode="External"/><Relationship Id="rId28" Type="http://schemas.openxmlformats.org/officeDocument/2006/relationships/hyperlink" Target="http://ec.europa.eu/justice/data-protection/index_en.htm" TargetMode="External"/><Relationship Id="rId10" Type="http://schemas.openxmlformats.org/officeDocument/2006/relationships/hyperlink" Target="http://cordis.europa.eu/fp7/transport/home_en.html" TargetMode="External"/><Relationship Id="rId19" Type="http://schemas.openxmlformats.org/officeDocument/2006/relationships/hyperlink" Target="http://www.indect-project.eu/" TargetMode="External"/><Relationship Id="rId31" Type="http://schemas.openxmlformats.org/officeDocument/2006/relationships/hyperlink" Target="http://en.wikipedia.org/wiki/Miran_Bozovic" TargetMode="External"/><Relationship Id="rId4" Type="http://schemas.openxmlformats.org/officeDocument/2006/relationships/hyperlink" Target="http://bit.ly/TuwSis" TargetMode="External"/><Relationship Id="rId9" Type="http://schemas.openxmlformats.org/officeDocument/2006/relationships/hyperlink" Target="http://www.intertradeireland.com/fp72012/Commissioners%20Speech.pdf" TargetMode="External"/><Relationship Id="rId14" Type="http://schemas.openxmlformats.org/officeDocument/2006/relationships/hyperlink" Target="http://www.srdc.com.tr/projects/icardea/" TargetMode="External"/><Relationship Id="rId22" Type="http://schemas.openxmlformats.org/officeDocument/2006/relationships/hyperlink" Target="http://bit.ly/w0wg0K" TargetMode="External"/><Relationship Id="rId27" Type="http://schemas.openxmlformats.org/officeDocument/2006/relationships/hyperlink" Target="http://cas.okstate.edu/jb/faculty/senat/jb3163/infoprivacy.html" TargetMode="External"/><Relationship Id="rId30" Type="http://schemas.openxmlformats.org/officeDocument/2006/relationships/hyperlink" Target="http://cartome.org/panopticon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46D5B-CFF0-4207-8CA7-73049BE48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16</Pages>
  <Words>6783</Words>
  <Characters>38668</Characters>
  <Application>Microsoft Office Word</Application>
  <DocSecurity>0</DocSecurity>
  <Lines>322</Lines>
  <Paragraphs>90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TOSHIBA</Company>
  <LinksUpToDate>false</LinksUpToDate>
  <CharactersWithSpaces>45361</CharactersWithSpaces>
  <SharedDoc>false</SharedDoc>
  <HLinks>
    <vt:vector size="270" baseType="variant">
      <vt:variant>
        <vt:i4>1114163</vt:i4>
      </vt:variant>
      <vt:variant>
        <vt:i4>56</vt:i4>
      </vt:variant>
      <vt:variant>
        <vt:i4>0</vt:i4>
      </vt:variant>
      <vt:variant>
        <vt:i4>5</vt:i4>
      </vt:variant>
      <vt:variant>
        <vt:lpwstr/>
      </vt:variant>
      <vt:variant>
        <vt:lpwstr>_Toc347145362</vt:lpwstr>
      </vt:variant>
      <vt:variant>
        <vt:i4>1114163</vt:i4>
      </vt:variant>
      <vt:variant>
        <vt:i4>50</vt:i4>
      </vt:variant>
      <vt:variant>
        <vt:i4>0</vt:i4>
      </vt:variant>
      <vt:variant>
        <vt:i4>5</vt:i4>
      </vt:variant>
      <vt:variant>
        <vt:lpwstr/>
      </vt:variant>
      <vt:variant>
        <vt:lpwstr>_Toc347145361</vt:lpwstr>
      </vt:variant>
      <vt:variant>
        <vt:i4>1114163</vt:i4>
      </vt:variant>
      <vt:variant>
        <vt:i4>44</vt:i4>
      </vt:variant>
      <vt:variant>
        <vt:i4>0</vt:i4>
      </vt:variant>
      <vt:variant>
        <vt:i4>5</vt:i4>
      </vt:variant>
      <vt:variant>
        <vt:lpwstr/>
      </vt:variant>
      <vt:variant>
        <vt:lpwstr>_Toc347145360</vt:lpwstr>
      </vt:variant>
      <vt:variant>
        <vt:i4>1179699</vt:i4>
      </vt:variant>
      <vt:variant>
        <vt:i4>38</vt:i4>
      </vt:variant>
      <vt:variant>
        <vt:i4>0</vt:i4>
      </vt:variant>
      <vt:variant>
        <vt:i4>5</vt:i4>
      </vt:variant>
      <vt:variant>
        <vt:lpwstr/>
      </vt:variant>
      <vt:variant>
        <vt:lpwstr>_Toc347145359</vt:lpwstr>
      </vt:variant>
      <vt:variant>
        <vt:i4>1179699</vt:i4>
      </vt:variant>
      <vt:variant>
        <vt:i4>32</vt:i4>
      </vt:variant>
      <vt:variant>
        <vt:i4>0</vt:i4>
      </vt:variant>
      <vt:variant>
        <vt:i4>5</vt:i4>
      </vt:variant>
      <vt:variant>
        <vt:lpwstr/>
      </vt:variant>
      <vt:variant>
        <vt:lpwstr>_Toc347145358</vt:lpwstr>
      </vt:variant>
      <vt:variant>
        <vt:i4>1179699</vt:i4>
      </vt:variant>
      <vt:variant>
        <vt:i4>26</vt:i4>
      </vt:variant>
      <vt:variant>
        <vt:i4>0</vt:i4>
      </vt:variant>
      <vt:variant>
        <vt:i4>5</vt:i4>
      </vt:variant>
      <vt:variant>
        <vt:lpwstr/>
      </vt:variant>
      <vt:variant>
        <vt:lpwstr>_Toc347145357</vt:lpwstr>
      </vt:variant>
      <vt:variant>
        <vt:i4>1179699</vt:i4>
      </vt:variant>
      <vt:variant>
        <vt:i4>20</vt:i4>
      </vt:variant>
      <vt:variant>
        <vt:i4>0</vt:i4>
      </vt:variant>
      <vt:variant>
        <vt:i4>5</vt:i4>
      </vt:variant>
      <vt:variant>
        <vt:lpwstr/>
      </vt:variant>
      <vt:variant>
        <vt:lpwstr>_Toc347145356</vt:lpwstr>
      </vt:variant>
      <vt:variant>
        <vt:i4>1179699</vt:i4>
      </vt:variant>
      <vt:variant>
        <vt:i4>14</vt:i4>
      </vt:variant>
      <vt:variant>
        <vt:i4>0</vt:i4>
      </vt:variant>
      <vt:variant>
        <vt:i4>5</vt:i4>
      </vt:variant>
      <vt:variant>
        <vt:lpwstr/>
      </vt:variant>
      <vt:variant>
        <vt:lpwstr>_Toc347145355</vt:lpwstr>
      </vt:variant>
      <vt:variant>
        <vt:i4>1179699</vt:i4>
      </vt:variant>
      <vt:variant>
        <vt:i4>8</vt:i4>
      </vt:variant>
      <vt:variant>
        <vt:i4>0</vt:i4>
      </vt:variant>
      <vt:variant>
        <vt:i4>5</vt:i4>
      </vt:variant>
      <vt:variant>
        <vt:lpwstr/>
      </vt:variant>
      <vt:variant>
        <vt:lpwstr>_Toc347145354</vt:lpwstr>
      </vt:variant>
      <vt:variant>
        <vt:i4>1179699</vt:i4>
      </vt:variant>
      <vt:variant>
        <vt:i4>2</vt:i4>
      </vt:variant>
      <vt:variant>
        <vt:i4>0</vt:i4>
      </vt:variant>
      <vt:variant>
        <vt:i4>5</vt:i4>
      </vt:variant>
      <vt:variant>
        <vt:lpwstr/>
      </vt:variant>
      <vt:variant>
        <vt:lpwstr>_Toc347145353</vt:lpwstr>
      </vt:variant>
      <vt:variant>
        <vt:i4>655381</vt:i4>
      </vt:variant>
      <vt:variant>
        <vt:i4>102</vt:i4>
      </vt:variant>
      <vt:variant>
        <vt:i4>0</vt:i4>
      </vt:variant>
      <vt:variant>
        <vt:i4>5</vt:i4>
      </vt:variant>
      <vt:variant>
        <vt:lpwstr>http://bit.ly/PBEw7A</vt:lpwstr>
      </vt:variant>
      <vt:variant>
        <vt:lpwstr/>
      </vt:variant>
      <vt:variant>
        <vt:i4>5242970</vt:i4>
      </vt:variant>
      <vt:variant>
        <vt:i4>99</vt:i4>
      </vt:variant>
      <vt:variant>
        <vt:i4>0</vt:i4>
      </vt:variant>
      <vt:variant>
        <vt:i4>5</vt:i4>
      </vt:variant>
      <vt:variant>
        <vt:lpwstr>http://bit.ly/A0zXvf</vt:lpwstr>
      </vt:variant>
      <vt:variant>
        <vt:lpwstr/>
      </vt:variant>
      <vt:variant>
        <vt:i4>4456479</vt:i4>
      </vt:variant>
      <vt:variant>
        <vt:i4>96</vt:i4>
      </vt:variant>
      <vt:variant>
        <vt:i4>0</vt:i4>
      </vt:variant>
      <vt:variant>
        <vt:i4>5</vt:i4>
      </vt:variant>
      <vt:variant>
        <vt:lpwstr>http://huff.to/Y14oMZ</vt:lpwstr>
      </vt:variant>
      <vt:variant>
        <vt:lpwstr/>
      </vt:variant>
      <vt:variant>
        <vt:i4>6488075</vt:i4>
      </vt:variant>
      <vt:variant>
        <vt:i4>93</vt:i4>
      </vt:variant>
      <vt:variant>
        <vt:i4>0</vt:i4>
      </vt:variant>
      <vt:variant>
        <vt:i4>5</vt:i4>
      </vt:variant>
      <vt:variant>
        <vt:lpwstr>http://en.wikipedia.org/wiki/Miran_Bozovic</vt:lpwstr>
      </vt:variant>
      <vt:variant>
        <vt:lpwstr/>
      </vt:variant>
      <vt:variant>
        <vt:i4>6750255</vt:i4>
      </vt:variant>
      <vt:variant>
        <vt:i4>90</vt:i4>
      </vt:variant>
      <vt:variant>
        <vt:i4>0</vt:i4>
      </vt:variant>
      <vt:variant>
        <vt:i4>5</vt:i4>
      </vt:variant>
      <vt:variant>
        <vt:lpwstr>http://cartome.org/panopticon2.htm</vt:lpwstr>
      </vt:variant>
      <vt:variant>
        <vt:lpwstr/>
      </vt:variant>
      <vt:variant>
        <vt:i4>7143510</vt:i4>
      </vt:variant>
      <vt:variant>
        <vt:i4>87</vt:i4>
      </vt:variant>
      <vt:variant>
        <vt:i4>0</vt:i4>
      </vt:variant>
      <vt:variant>
        <vt:i4>5</vt:i4>
      </vt:variant>
      <vt:variant>
        <vt:lpwstr>http://ec.europa.eu/justice/data-protection/index_en.htm</vt:lpwstr>
      </vt:variant>
      <vt:variant>
        <vt:lpwstr/>
      </vt:variant>
      <vt:variant>
        <vt:i4>7143510</vt:i4>
      </vt:variant>
      <vt:variant>
        <vt:i4>84</vt:i4>
      </vt:variant>
      <vt:variant>
        <vt:i4>0</vt:i4>
      </vt:variant>
      <vt:variant>
        <vt:i4>5</vt:i4>
      </vt:variant>
      <vt:variant>
        <vt:lpwstr>http://ec.europa.eu/justice/data-protection/index_en.htm</vt:lpwstr>
      </vt:variant>
      <vt:variant>
        <vt:lpwstr/>
      </vt:variant>
      <vt:variant>
        <vt:i4>7929903</vt:i4>
      </vt:variant>
      <vt:variant>
        <vt:i4>81</vt:i4>
      </vt:variant>
      <vt:variant>
        <vt:i4>0</vt:i4>
      </vt:variant>
      <vt:variant>
        <vt:i4>5</vt:i4>
      </vt:variant>
      <vt:variant>
        <vt:lpwstr>http://cas.okstate.edu/jb/faculty/senat/jb3163/infoprivacy.html</vt:lpwstr>
      </vt:variant>
      <vt:variant>
        <vt:lpwstr/>
      </vt:variant>
      <vt:variant>
        <vt:i4>1179736</vt:i4>
      </vt:variant>
      <vt:variant>
        <vt:i4>78</vt:i4>
      </vt:variant>
      <vt:variant>
        <vt:i4>0</vt:i4>
      </vt:variant>
      <vt:variant>
        <vt:i4>5</vt:i4>
      </vt:variant>
      <vt:variant>
        <vt:lpwstr>http://bit.ly/PqvWIJ</vt:lpwstr>
      </vt:variant>
      <vt:variant>
        <vt:lpwstr/>
      </vt:variant>
      <vt:variant>
        <vt:i4>1638519</vt:i4>
      </vt:variant>
      <vt:variant>
        <vt:i4>75</vt:i4>
      </vt:variant>
      <vt:variant>
        <vt:i4>0</vt:i4>
      </vt:variant>
      <vt:variant>
        <vt:i4>5</vt:i4>
      </vt:variant>
      <vt:variant>
        <vt:lpwstr>http://www.eu2007.de/en/News/Press_Releases/May/0521BMI.html</vt:lpwstr>
      </vt:variant>
      <vt:variant>
        <vt:lpwstr/>
      </vt:variant>
      <vt:variant>
        <vt:i4>5439563</vt:i4>
      </vt:variant>
      <vt:variant>
        <vt:i4>72</vt:i4>
      </vt:variant>
      <vt:variant>
        <vt:i4>0</vt:i4>
      </vt:variant>
      <vt:variant>
        <vt:i4>5</vt:i4>
      </vt:variant>
      <vt:variant>
        <vt:lpwstr>http://bit.ly/VeLZf2</vt:lpwstr>
      </vt:variant>
      <vt:variant>
        <vt:lpwstr/>
      </vt:variant>
      <vt:variant>
        <vt:i4>6291503</vt:i4>
      </vt:variant>
      <vt:variant>
        <vt:i4>69</vt:i4>
      </vt:variant>
      <vt:variant>
        <vt:i4>0</vt:i4>
      </vt:variant>
      <vt:variant>
        <vt:i4>5</vt:i4>
      </vt:variant>
      <vt:variant>
        <vt:lpwstr>http://www.uitzendinggemist.nl/afleveringen/1243625</vt:lpwstr>
      </vt:variant>
      <vt:variant>
        <vt:lpwstr/>
      </vt:variant>
      <vt:variant>
        <vt:i4>4325383</vt:i4>
      </vt:variant>
      <vt:variant>
        <vt:i4>66</vt:i4>
      </vt:variant>
      <vt:variant>
        <vt:i4>0</vt:i4>
      </vt:variant>
      <vt:variant>
        <vt:i4>5</vt:i4>
      </vt:variant>
      <vt:variant>
        <vt:lpwstr>http://bit.ly/w0wg0K</vt:lpwstr>
      </vt:variant>
      <vt:variant>
        <vt:lpwstr/>
      </vt:variant>
      <vt:variant>
        <vt:i4>5046296</vt:i4>
      </vt:variant>
      <vt:variant>
        <vt:i4>63</vt:i4>
      </vt:variant>
      <vt:variant>
        <vt:i4>0</vt:i4>
      </vt:variant>
      <vt:variant>
        <vt:i4>5</vt:i4>
      </vt:variant>
      <vt:variant>
        <vt:lpwstr>http://bit.ly/11ytGVC</vt:lpwstr>
      </vt:variant>
      <vt:variant>
        <vt:lpwstr/>
      </vt:variant>
      <vt:variant>
        <vt:i4>2490490</vt:i4>
      </vt:variant>
      <vt:variant>
        <vt:i4>60</vt:i4>
      </vt:variant>
      <vt:variant>
        <vt:i4>0</vt:i4>
      </vt:variant>
      <vt:variant>
        <vt:i4>5</vt:i4>
      </vt:variant>
      <vt:variant>
        <vt:lpwstr>http://www.sikharchives.com/?p=287</vt:lpwstr>
      </vt:variant>
      <vt:variant>
        <vt:lpwstr/>
      </vt:variant>
      <vt:variant>
        <vt:i4>4718660</vt:i4>
      </vt:variant>
      <vt:variant>
        <vt:i4>57</vt:i4>
      </vt:variant>
      <vt:variant>
        <vt:i4>0</vt:i4>
      </vt:variant>
      <vt:variant>
        <vt:i4>5</vt:i4>
      </vt:variant>
      <vt:variant>
        <vt:lpwstr>http://www.indect-project.eu/</vt:lpwstr>
      </vt:variant>
      <vt:variant>
        <vt:lpwstr/>
      </vt:variant>
      <vt:variant>
        <vt:i4>7536690</vt:i4>
      </vt:variant>
      <vt:variant>
        <vt:i4>54</vt:i4>
      </vt:variant>
      <vt:variant>
        <vt:i4>0</vt:i4>
      </vt:variant>
      <vt:variant>
        <vt:i4>5</vt:i4>
      </vt:variant>
      <vt:variant>
        <vt:lpwstr>http://wlstorage.net/file/indect-deliverable-4-2009.pdf</vt:lpwstr>
      </vt:variant>
      <vt:variant>
        <vt:lpwstr/>
      </vt:variant>
      <vt:variant>
        <vt:i4>7143435</vt:i4>
      </vt:variant>
      <vt:variant>
        <vt:i4>51</vt:i4>
      </vt:variant>
      <vt:variant>
        <vt:i4>0</vt:i4>
      </vt:variant>
      <vt:variant>
        <vt:i4>5</vt:i4>
      </vt:variant>
      <vt:variant>
        <vt:lpwstr>http://ec.europa.eu/enterprise/policies/security/indect/index_en.htm</vt:lpwstr>
      </vt:variant>
      <vt:variant>
        <vt:lpwstr/>
      </vt:variant>
      <vt:variant>
        <vt:i4>393292</vt:i4>
      </vt:variant>
      <vt:variant>
        <vt:i4>48</vt:i4>
      </vt:variant>
      <vt:variant>
        <vt:i4>0</vt:i4>
      </vt:variant>
      <vt:variant>
        <vt:i4>5</vt:i4>
      </vt:variant>
      <vt:variant>
        <vt:lpwstr>http://bit.ly/WYHmDL</vt:lpwstr>
      </vt:variant>
      <vt:variant>
        <vt:lpwstr/>
      </vt:variant>
      <vt:variant>
        <vt:i4>7471182</vt:i4>
      </vt:variant>
      <vt:variant>
        <vt:i4>45</vt:i4>
      </vt:variant>
      <vt:variant>
        <vt:i4>0</vt:i4>
      </vt:variant>
      <vt:variant>
        <vt:i4>5</vt:i4>
      </vt:variant>
      <vt:variant>
        <vt:lpwstr>http://www.arkko.com/publications/vitel_arkko.pdf</vt:lpwstr>
      </vt:variant>
      <vt:variant>
        <vt:lpwstr/>
      </vt:variant>
      <vt:variant>
        <vt:i4>1310813</vt:i4>
      </vt:variant>
      <vt:variant>
        <vt:i4>42</vt:i4>
      </vt:variant>
      <vt:variant>
        <vt:i4>0</vt:i4>
      </vt:variant>
      <vt:variant>
        <vt:i4>5</vt:i4>
      </vt:variant>
      <vt:variant>
        <vt:lpwstr>http://bit.ly/KVVKWW</vt:lpwstr>
      </vt:variant>
      <vt:variant>
        <vt:lpwstr/>
      </vt:variant>
      <vt:variant>
        <vt:i4>5963793</vt:i4>
      </vt:variant>
      <vt:variant>
        <vt:i4>39</vt:i4>
      </vt:variant>
      <vt:variant>
        <vt:i4>0</vt:i4>
      </vt:variant>
      <vt:variant>
        <vt:i4>5</vt:i4>
      </vt:variant>
      <vt:variant>
        <vt:lpwstr>http://www.srdc.com.tr/projects/icardea/</vt:lpwstr>
      </vt:variant>
      <vt:variant>
        <vt:lpwstr/>
      </vt:variant>
      <vt:variant>
        <vt:i4>6225921</vt:i4>
      </vt:variant>
      <vt:variant>
        <vt:i4>36</vt:i4>
      </vt:variant>
      <vt:variant>
        <vt:i4>0</vt:i4>
      </vt:variant>
      <vt:variant>
        <vt:i4>5</vt:i4>
      </vt:variant>
      <vt:variant>
        <vt:lpwstr>http://cordis.europa.eu/fp7/ict/</vt:lpwstr>
      </vt:variant>
      <vt:variant>
        <vt:lpwstr/>
      </vt:variant>
      <vt:variant>
        <vt:i4>2097191</vt:i4>
      </vt:variant>
      <vt:variant>
        <vt:i4>33</vt:i4>
      </vt:variant>
      <vt:variant>
        <vt:i4>0</vt:i4>
      </vt:variant>
      <vt:variant>
        <vt:i4>5</vt:i4>
      </vt:variant>
      <vt:variant>
        <vt:lpwstr>http://www.ertico.com/heero</vt:lpwstr>
      </vt:variant>
      <vt:variant>
        <vt:lpwstr/>
      </vt:variant>
      <vt:variant>
        <vt:i4>20</vt:i4>
      </vt:variant>
      <vt:variant>
        <vt:i4>30</vt:i4>
      </vt:variant>
      <vt:variant>
        <vt:i4>0</vt:i4>
      </vt:variant>
      <vt:variant>
        <vt:i4>5</vt:i4>
      </vt:variant>
      <vt:variant>
        <vt:lpwstr>http://blogs.ec.europa.eu/neelie-kroes/ecall-using-ict-to-save-lives/</vt:lpwstr>
      </vt:variant>
      <vt:variant>
        <vt:lpwstr>more-753</vt:lpwstr>
      </vt:variant>
      <vt:variant>
        <vt:i4>8061008</vt:i4>
      </vt:variant>
      <vt:variant>
        <vt:i4>27</vt:i4>
      </vt:variant>
      <vt:variant>
        <vt:i4>0</vt:i4>
      </vt:variant>
      <vt:variant>
        <vt:i4>5</vt:i4>
      </vt:variant>
      <vt:variant>
        <vt:lpwstr>http://cordis.europa.eu/fp7/transport/home_en.html</vt:lpwstr>
      </vt:variant>
      <vt:variant>
        <vt:lpwstr/>
      </vt:variant>
      <vt:variant>
        <vt:i4>5505088</vt:i4>
      </vt:variant>
      <vt:variant>
        <vt:i4>24</vt:i4>
      </vt:variant>
      <vt:variant>
        <vt:i4>0</vt:i4>
      </vt:variant>
      <vt:variant>
        <vt:i4>5</vt:i4>
      </vt:variant>
      <vt:variant>
        <vt:lpwstr>http://www.intertradeireland.com/fp72012/Commissioners Speech.pdf</vt:lpwstr>
      </vt:variant>
      <vt:variant>
        <vt:lpwstr/>
      </vt:variant>
      <vt:variant>
        <vt:i4>3997777</vt:i4>
      </vt:variant>
      <vt:variant>
        <vt:i4>21</vt:i4>
      </vt:variant>
      <vt:variant>
        <vt:i4>0</vt:i4>
      </vt:variant>
      <vt:variant>
        <vt:i4>5</vt:i4>
      </vt:variant>
      <vt:variant>
        <vt:lpwstr>http://cordis.europa.eu/fp7/understand_en.html</vt:lpwstr>
      </vt:variant>
      <vt:variant>
        <vt:lpwstr/>
      </vt:variant>
      <vt:variant>
        <vt:i4>3407914</vt:i4>
      </vt:variant>
      <vt:variant>
        <vt:i4>18</vt:i4>
      </vt:variant>
      <vt:variant>
        <vt:i4>0</vt:i4>
      </vt:variant>
      <vt:variant>
        <vt:i4>5</vt:i4>
      </vt:variant>
      <vt:variant>
        <vt:lpwstr>http://www.rfidjournal.com/article/articleprint/3940/-1/1/</vt:lpwstr>
      </vt:variant>
      <vt:variant>
        <vt:lpwstr/>
      </vt:variant>
      <vt:variant>
        <vt:i4>196618</vt:i4>
      </vt:variant>
      <vt:variant>
        <vt:i4>15</vt:i4>
      </vt:variant>
      <vt:variant>
        <vt:i4>0</vt:i4>
      </vt:variant>
      <vt:variant>
        <vt:i4>5</vt:i4>
      </vt:variant>
      <vt:variant>
        <vt:lpwstr>http://www.rfidjournal.com/article/view/4986</vt:lpwstr>
      </vt:variant>
      <vt:variant>
        <vt:lpwstr/>
      </vt:variant>
      <vt:variant>
        <vt:i4>7077932</vt:i4>
      </vt:variant>
      <vt:variant>
        <vt:i4>12</vt:i4>
      </vt:variant>
      <vt:variant>
        <vt:i4>0</vt:i4>
      </vt:variant>
      <vt:variant>
        <vt:i4>5</vt:i4>
      </vt:variant>
      <vt:variant>
        <vt:lpwstr>http://europa.eu/rapid/press-release_SPEECH-06-597_en.htm?locale=fr</vt:lpwstr>
      </vt:variant>
      <vt:variant>
        <vt:lpwstr/>
      </vt:variant>
      <vt:variant>
        <vt:i4>720989</vt:i4>
      </vt:variant>
      <vt:variant>
        <vt:i4>9</vt:i4>
      </vt:variant>
      <vt:variant>
        <vt:i4>0</vt:i4>
      </vt:variant>
      <vt:variant>
        <vt:i4>5</vt:i4>
      </vt:variant>
      <vt:variant>
        <vt:lpwstr>http://bit.ly/TuwSis</vt:lpwstr>
      </vt:variant>
      <vt:variant>
        <vt:lpwstr/>
      </vt:variant>
      <vt:variant>
        <vt:i4>327766</vt:i4>
      </vt:variant>
      <vt:variant>
        <vt:i4>6</vt:i4>
      </vt:variant>
      <vt:variant>
        <vt:i4>0</vt:i4>
      </vt:variant>
      <vt:variant>
        <vt:i4>5</vt:i4>
      </vt:variant>
      <vt:variant>
        <vt:lpwstr>http://bit.ly/XFaEXX</vt:lpwstr>
      </vt:variant>
      <vt:variant>
        <vt:lpwstr/>
      </vt:variant>
      <vt:variant>
        <vt:i4>6815768</vt:i4>
      </vt:variant>
      <vt:variant>
        <vt:i4>3</vt:i4>
      </vt:variant>
      <vt:variant>
        <vt:i4>0</vt:i4>
      </vt:variant>
      <vt:variant>
        <vt:i4>5</vt:i4>
      </vt:variant>
      <vt:variant>
        <vt:lpwstr>http://www.digitalarti.com/files/Digitalarti-5_UK-site-internet-MD.pdf</vt:lpwstr>
      </vt:variant>
      <vt:variant>
        <vt:lpwstr/>
      </vt:variant>
      <vt:variant>
        <vt:i4>589917</vt:i4>
      </vt:variant>
      <vt:variant>
        <vt:i4>0</vt:i4>
      </vt:variant>
      <vt:variant>
        <vt:i4>0</vt:i4>
      </vt:variant>
      <vt:variant>
        <vt:i4>5</vt:i4>
      </vt:variant>
      <vt:variant>
        <vt:lpwstr>http://www.wired.com/beyond_the_beyond/2011/02/spime-watch-the-internet-of-things-a-window-to-our-future/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Meester</dc:creator>
  <cp:keywords/>
  <cp:lastModifiedBy>Tijmen Wisman</cp:lastModifiedBy>
  <cp:revision>8</cp:revision>
  <dcterms:created xsi:type="dcterms:W3CDTF">2013-04-08T11:08:00Z</dcterms:created>
  <dcterms:modified xsi:type="dcterms:W3CDTF">2013-05-23T13:20:00Z</dcterms:modified>
</cp:coreProperties>
</file>